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20.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F0F" w:rsidRDefault="00224F0F">
      <w:pPr>
        <w:rPr>
          <w:rFonts w:ascii="Arial" w:hAnsi="Arial" w:cs="Arial"/>
          <w:b/>
        </w:rPr>
      </w:pPr>
    </w:p>
    <w:p w:rsidR="00224F0F" w:rsidRPr="00133015" w:rsidRDefault="00224F0F" w:rsidP="00133015">
      <w:pPr>
        <w:ind w:left="360"/>
        <w:rPr>
          <w:b/>
          <w:sz w:val="24"/>
        </w:rPr>
      </w:pPr>
      <w:bookmarkStart w:id="0" w:name="_GoBack"/>
      <w:bookmarkEnd w:id="0"/>
      <w:r w:rsidRPr="00133015">
        <w:rPr>
          <w:rFonts w:ascii="Arial" w:hAnsi="Arial" w:cs="Arial"/>
          <w:b/>
          <w:color w:val="222222"/>
          <w:szCs w:val="20"/>
        </w:rPr>
        <w:t xml:space="preserve">Seguimiento a la planeación Resultados de indicadores </w:t>
      </w:r>
    </w:p>
    <w:p w:rsidR="00BE61FF" w:rsidRDefault="00BE61FF" w:rsidP="00BE61FF">
      <w:pPr>
        <w:pStyle w:val="Prrafodelista"/>
        <w:rPr>
          <w:b/>
          <w:sz w:val="24"/>
        </w:rPr>
      </w:pPr>
    </w:p>
    <w:p w:rsidR="00BE61FF" w:rsidRPr="004662E1" w:rsidRDefault="00BE61FF" w:rsidP="00BE61FF">
      <w:pPr>
        <w:pStyle w:val="Textoindependiente2"/>
        <w:rPr>
          <w:rFonts w:ascii="Arial" w:hAnsi="Arial" w:cs="Arial"/>
          <w:sz w:val="24"/>
          <w:szCs w:val="22"/>
        </w:rPr>
      </w:pPr>
      <w:r w:rsidRPr="004662E1">
        <w:rPr>
          <w:rFonts w:ascii="Arial" w:hAnsi="Arial" w:cs="Arial"/>
          <w:sz w:val="24"/>
          <w:szCs w:val="22"/>
        </w:rPr>
        <w:t xml:space="preserve">La capacidad, dedicación y entereza de </w:t>
      </w:r>
      <w:smartTag w:uri="urn:schemas-microsoft-com:office:smarttags" w:element="PersonName">
        <w:smartTagPr>
          <w:attr w:name="ProductID" w:val="la Universidad"/>
        </w:smartTagPr>
        <w:r w:rsidRPr="004662E1">
          <w:rPr>
            <w:rFonts w:ascii="Arial" w:hAnsi="Arial" w:cs="Arial"/>
            <w:sz w:val="24"/>
            <w:szCs w:val="22"/>
          </w:rPr>
          <w:t>la Universidad</w:t>
        </w:r>
      </w:smartTag>
      <w:r w:rsidRPr="004662E1">
        <w:rPr>
          <w:rFonts w:ascii="Arial" w:hAnsi="Arial" w:cs="Arial"/>
          <w:sz w:val="24"/>
          <w:szCs w:val="22"/>
        </w:rPr>
        <w:t xml:space="preserve"> entera se vio reflejada en el trabajo adelantado por el Comité Asesor Universitario (CAU) para </w:t>
      </w:r>
      <w:smartTag w:uri="urn:schemas-microsoft-com:office:smarttags" w:element="PersonName">
        <w:smartTagPr>
          <w:attr w:name="ProductID" w:val="la Formulaci￳n"/>
        </w:smartTagPr>
        <w:r w:rsidRPr="004662E1">
          <w:rPr>
            <w:rFonts w:ascii="Arial" w:hAnsi="Arial" w:cs="Arial"/>
            <w:sz w:val="24"/>
            <w:szCs w:val="22"/>
          </w:rPr>
          <w:t>la Formulación</w:t>
        </w:r>
      </w:smartTag>
      <w:r w:rsidRPr="004662E1">
        <w:rPr>
          <w:rFonts w:ascii="Arial" w:hAnsi="Arial" w:cs="Arial"/>
          <w:sz w:val="24"/>
          <w:szCs w:val="22"/>
        </w:rPr>
        <w:t xml:space="preserve"> del Plan de Desarrollo Institucional 2005-2015, encargado por voluntad propia de sus integrantes de orientar el proceso de formulación del plan, en coordinación e integración con </w:t>
      </w:r>
      <w:smartTag w:uri="urn:schemas-microsoft-com:office:smarttags" w:element="PersonName">
        <w:smartTagPr>
          <w:attr w:name="ProductID" w:val="la Oficina"/>
        </w:smartTagPr>
        <w:r w:rsidRPr="004662E1">
          <w:rPr>
            <w:rFonts w:ascii="Arial" w:hAnsi="Arial" w:cs="Arial"/>
            <w:sz w:val="24"/>
            <w:szCs w:val="22"/>
          </w:rPr>
          <w:t>la Oficina</w:t>
        </w:r>
      </w:smartTag>
      <w:r w:rsidRPr="004662E1">
        <w:rPr>
          <w:rFonts w:ascii="Arial" w:hAnsi="Arial" w:cs="Arial"/>
          <w:sz w:val="24"/>
          <w:szCs w:val="22"/>
        </w:rPr>
        <w:t xml:space="preserve"> de Planeación y Desarrollo. Por resultado se tuvo un equipo de trabajo de gran dedicación y capacidad de reflexión y autoanálisis, </w:t>
      </w:r>
      <w:proofErr w:type="spellStart"/>
      <w:r w:rsidRPr="004662E1">
        <w:rPr>
          <w:rFonts w:ascii="Arial" w:hAnsi="Arial" w:cs="Arial"/>
          <w:sz w:val="24"/>
          <w:szCs w:val="22"/>
        </w:rPr>
        <w:t>conciente</w:t>
      </w:r>
      <w:proofErr w:type="spellEnd"/>
      <w:r w:rsidRPr="004662E1">
        <w:rPr>
          <w:rFonts w:ascii="Arial" w:hAnsi="Arial" w:cs="Arial"/>
          <w:sz w:val="24"/>
          <w:szCs w:val="22"/>
        </w:rPr>
        <w:t xml:space="preserve"> de su responsabilidad y de la necesidad de continuar en la construcción de una cultura de la planeación en la institución, que cobije e irradie a todos los estamentos y miembros de la comunidad universitaria.  </w:t>
      </w:r>
    </w:p>
    <w:p w:rsidR="00BE61FF" w:rsidRPr="004662E1" w:rsidRDefault="00BE61FF" w:rsidP="00BE61FF">
      <w:pPr>
        <w:pStyle w:val="Textoindependiente2"/>
        <w:rPr>
          <w:rFonts w:ascii="Arial" w:hAnsi="Arial" w:cs="Arial"/>
          <w:sz w:val="24"/>
          <w:szCs w:val="22"/>
        </w:rPr>
      </w:pPr>
    </w:p>
    <w:p w:rsidR="00BE61FF" w:rsidRPr="004662E1" w:rsidRDefault="00BE61FF" w:rsidP="00BE61FF">
      <w:pPr>
        <w:jc w:val="both"/>
        <w:rPr>
          <w:rFonts w:ascii="Arial" w:hAnsi="Arial" w:cs="Arial"/>
          <w:bCs/>
          <w:sz w:val="24"/>
        </w:rPr>
      </w:pPr>
      <w:r w:rsidRPr="004662E1">
        <w:rPr>
          <w:rFonts w:ascii="Arial" w:hAnsi="Arial" w:cs="Arial"/>
          <w:sz w:val="24"/>
        </w:rPr>
        <w:t xml:space="preserve">Este plan de desarrollo consigna los propósitos compartidos por los distintos estamentos y actores del sistema universitario, integrando las visiones, aspiraciones y aportes de todos en una gran tarea: alcanzar </w:t>
      </w:r>
      <w:smartTag w:uri="urn:schemas-microsoft-com:office:smarttags" w:element="PersonName">
        <w:smartTagPr>
          <w:attr w:name="ProductID" w:val="la Universidad"/>
        </w:smartTagPr>
        <w:r w:rsidRPr="004662E1">
          <w:rPr>
            <w:rFonts w:ascii="Arial" w:hAnsi="Arial" w:cs="Arial"/>
            <w:sz w:val="24"/>
          </w:rPr>
          <w:t>la Universidad</w:t>
        </w:r>
      </w:smartTag>
      <w:r w:rsidRPr="004662E1">
        <w:rPr>
          <w:rFonts w:ascii="Arial" w:hAnsi="Arial" w:cs="Arial"/>
          <w:sz w:val="24"/>
        </w:rPr>
        <w:t xml:space="preserve"> del Quindío que anhelamos, capaz de cumplir con los desafíos, sueños y compromisos con la sociedad colombiana. Por eso, quienes ayudaron a formular este plan le han dado por nombre “</w:t>
      </w:r>
      <w:smartTag w:uri="urn:schemas-microsoft-com:office:smarttags" w:element="PersonName">
        <w:smartTagPr>
          <w:attr w:name="ProductID" w:val="la Universidad"/>
        </w:smartTagPr>
        <w:r w:rsidRPr="004662E1">
          <w:rPr>
            <w:rFonts w:ascii="Arial" w:hAnsi="Arial" w:cs="Arial"/>
            <w:sz w:val="24"/>
          </w:rPr>
          <w:t>La Universidad</w:t>
        </w:r>
      </w:smartTag>
      <w:r w:rsidRPr="004662E1">
        <w:rPr>
          <w:rFonts w:ascii="Arial" w:hAnsi="Arial" w:cs="Arial"/>
          <w:sz w:val="24"/>
        </w:rPr>
        <w:t xml:space="preserve"> del Quindío: Desafíos, sueños y compromisos con la sociedad”</w:t>
      </w:r>
      <w:r w:rsidRPr="004662E1">
        <w:rPr>
          <w:rFonts w:ascii="Arial" w:hAnsi="Arial" w:cs="Arial"/>
          <w:bCs/>
          <w:sz w:val="24"/>
        </w:rPr>
        <w:t xml:space="preserve">. </w:t>
      </w:r>
    </w:p>
    <w:p w:rsidR="008D0BB3" w:rsidRPr="004662E1" w:rsidRDefault="008D0BB3" w:rsidP="00BE61FF">
      <w:pPr>
        <w:jc w:val="both"/>
        <w:rPr>
          <w:rFonts w:ascii="Arial" w:hAnsi="Arial" w:cs="Arial"/>
          <w:bCs/>
          <w:sz w:val="24"/>
        </w:rPr>
      </w:pPr>
    </w:p>
    <w:p w:rsidR="008D0BB3" w:rsidRPr="000C5FB5" w:rsidRDefault="008D0BB3" w:rsidP="008D0BB3">
      <w:pPr>
        <w:pStyle w:val="notatabla"/>
        <w:spacing w:before="0" w:line="240" w:lineRule="auto"/>
        <w:jc w:val="both"/>
        <w:rPr>
          <w:rFonts w:ascii="Arial" w:hAnsi="Arial"/>
          <w:sz w:val="24"/>
        </w:rPr>
      </w:pPr>
      <w:r w:rsidRPr="00275468">
        <w:rPr>
          <w:rFonts w:ascii="Arial" w:hAnsi="Arial"/>
          <w:sz w:val="24"/>
        </w:rPr>
        <w:t>Para el periodo 2005 – 2015 se formula el Plan de Desarrollo Institucional que tomó el eslogan “Desafíos, sueños y compromiso c</w:t>
      </w:r>
      <w:r w:rsidRPr="000C5FB5">
        <w:rPr>
          <w:rFonts w:ascii="Arial" w:hAnsi="Arial"/>
          <w:sz w:val="24"/>
        </w:rPr>
        <w:t>on la sociedad” este se construye mediante la metodología “forjando futuro” la cual tuvo participación tanto de actores internos como externo, se partió de una DOFA y la evaluación de los elementos filosóficos estratégicos de la institución (misión, visión, valores y principios), lo cual permitió el diseño de un despliegue estratégico compuesto por 3 ejes estratégicos (excelencia académica, proyección social y gestión de la calidad), de los cuales se desprenden 8 pilares estratégicos. Este plan se ejecutó a través de 3 planes estratégicos</w:t>
      </w:r>
      <w:r>
        <w:rPr>
          <w:rFonts w:ascii="Arial" w:hAnsi="Arial"/>
          <w:sz w:val="24"/>
        </w:rPr>
        <w:t xml:space="preserve"> (2006 – 2008, 2009 – 2011 y 2012 – 2015)</w:t>
      </w:r>
      <w:r w:rsidRPr="000C5FB5">
        <w:rPr>
          <w:rFonts w:ascii="Arial" w:hAnsi="Arial"/>
          <w:sz w:val="24"/>
        </w:rPr>
        <w:t>.</w:t>
      </w:r>
    </w:p>
    <w:p w:rsidR="008D0BB3" w:rsidRPr="000C5FB5" w:rsidRDefault="008D0BB3" w:rsidP="008D0BB3">
      <w:pPr>
        <w:pStyle w:val="notatabla"/>
        <w:spacing w:before="0" w:line="240" w:lineRule="auto"/>
        <w:jc w:val="both"/>
        <w:rPr>
          <w:rFonts w:ascii="Arial" w:hAnsi="Arial"/>
          <w:sz w:val="24"/>
        </w:rPr>
      </w:pPr>
    </w:p>
    <w:p w:rsidR="008D0BB3" w:rsidRPr="00275468" w:rsidRDefault="008D0BB3" w:rsidP="008D0BB3">
      <w:pPr>
        <w:pStyle w:val="notatabla"/>
        <w:spacing w:before="0" w:line="240" w:lineRule="auto"/>
        <w:jc w:val="both"/>
        <w:rPr>
          <w:rFonts w:ascii="Arial" w:hAnsi="Arial"/>
          <w:sz w:val="24"/>
        </w:rPr>
      </w:pPr>
      <w:r w:rsidRPr="000C5FB5">
        <w:rPr>
          <w:rFonts w:ascii="Arial" w:hAnsi="Arial"/>
          <w:sz w:val="24"/>
        </w:rPr>
        <w:t>Con base en Plan de Desarrollo Institucional actual se puede establecer que el proceso de planeación de la Universidad se realiza en tres momentos, a largo plazo establecido en el documento inicial, a mediano plazo en cada uno de los planes estratégicos y a corto plazo las áreas tanto académicas como administrativas al ini</w:t>
      </w:r>
      <w:r w:rsidRPr="00275468">
        <w:rPr>
          <w:rFonts w:ascii="Arial" w:hAnsi="Arial"/>
          <w:sz w:val="24"/>
        </w:rPr>
        <w:t xml:space="preserve">cio de cada año formulan el plan anual de gestión donde se establecen los responsables de cada uno de las actividades y estas se vean reflejadas en los acuerdos de gestión que firma cada directivo, en las agendas docentes firmadas tanto por los profesores de planta, ocasionales y catedráticos y en los compromisos laborales que </w:t>
      </w:r>
      <w:proofErr w:type="spellStart"/>
      <w:r w:rsidRPr="00275468">
        <w:rPr>
          <w:rFonts w:ascii="Arial" w:hAnsi="Arial"/>
          <w:sz w:val="24"/>
        </w:rPr>
        <w:t>concertan</w:t>
      </w:r>
      <w:proofErr w:type="spellEnd"/>
      <w:r w:rsidRPr="00275468">
        <w:rPr>
          <w:rFonts w:ascii="Arial" w:hAnsi="Arial"/>
          <w:sz w:val="24"/>
        </w:rPr>
        <w:t xml:space="preserve"> los funcionarios administrativos.</w:t>
      </w:r>
    </w:p>
    <w:p w:rsidR="008D0BB3" w:rsidRPr="00275468" w:rsidRDefault="008D0BB3" w:rsidP="008D0BB3">
      <w:pPr>
        <w:pStyle w:val="notatabla"/>
        <w:spacing w:before="0" w:line="240" w:lineRule="auto"/>
        <w:jc w:val="both"/>
        <w:rPr>
          <w:rFonts w:ascii="Arial" w:hAnsi="Arial"/>
          <w:sz w:val="24"/>
        </w:rPr>
      </w:pPr>
    </w:p>
    <w:p w:rsidR="008D0BB3" w:rsidRDefault="008D0BB3" w:rsidP="008D0BB3">
      <w:pPr>
        <w:pStyle w:val="notatabla"/>
        <w:spacing w:before="0" w:line="240" w:lineRule="auto"/>
        <w:jc w:val="both"/>
        <w:rPr>
          <w:rFonts w:ascii="Arial" w:hAnsi="Arial"/>
          <w:sz w:val="24"/>
        </w:rPr>
      </w:pPr>
      <w:r w:rsidRPr="00275468">
        <w:rPr>
          <w:rFonts w:ascii="Arial" w:hAnsi="Arial"/>
          <w:sz w:val="24"/>
        </w:rPr>
        <w:t>En el año 2014 la Universidad en asocio con el Centro de Pensamiento Estratégico y Prospectiva de la Universidad Externado de Colombia, realizó un Estudio Prospectivo Estratégico de la Institución el cual sirve hoy como elemento de partida para la elaboración del Plan de Desarrollo Institucional 2016 -2025.</w:t>
      </w:r>
    </w:p>
    <w:p w:rsidR="008D0BB3" w:rsidRDefault="008D0BB3" w:rsidP="008D0BB3">
      <w:pPr>
        <w:pStyle w:val="notatabla"/>
        <w:spacing w:before="0" w:line="240" w:lineRule="auto"/>
        <w:jc w:val="both"/>
        <w:rPr>
          <w:rFonts w:ascii="Arial" w:hAnsi="Arial"/>
          <w:sz w:val="24"/>
        </w:rPr>
      </w:pPr>
    </w:p>
    <w:p w:rsidR="008D0BB3" w:rsidRDefault="008D0BB3" w:rsidP="008D0BB3">
      <w:pPr>
        <w:pStyle w:val="notatabla"/>
        <w:spacing w:before="0" w:line="240" w:lineRule="auto"/>
        <w:jc w:val="both"/>
        <w:rPr>
          <w:rFonts w:ascii="Arial" w:hAnsi="Arial"/>
          <w:sz w:val="24"/>
        </w:rPr>
      </w:pPr>
      <w:r>
        <w:rPr>
          <w:rFonts w:ascii="Arial" w:hAnsi="Arial"/>
          <w:sz w:val="24"/>
        </w:rPr>
        <w:lastRenderedPageBreak/>
        <w:t>Para la ejecución del Plan de desarrollo 2005-2015, se desarrollaron planes estratégicos trianuales como se muestra en la siguiente grafica</w:t>
      </w:r>
    </w:p>
    <w:p w:rsidR="008D0BB3" w:rsidRDefault="008D0BB3" w:rsidP="00BE61FF">
      <w:pPr>
        <w:jc w:val="both"/>
        <w:rPr>
          <w:rFonts w:ascii="Arial" w:hAnsi="Arial" w:cs="Arial"/>
        </w:rPr>
      </w:pPr>
    </w:p>
    <w:p w:rsidR="008D0BB3" w:rsidRDefault="008D0BB3" w:rsidP="00BE61FF">
      <w:pPr>
        <w:jc w:val="both"/>
        <w:rPr>
          <w:rFonts w:ascii="Arial" w:hAnsi="Arial" w:cs="Arial"/>
        </w:rPr>
      </w:pPr>
    </w:p>
    <w:p w:rsidR="008D0BB3" w:rsidRDefault="008D0BB3" w:rsidP="00BE61FF">
      <w:pPr>
        <w:jc w:val="both"/>
        <w:rPr>
          <w:rFonts w:ascii="Arial" w:hAnsi="Arial" w:cs="Arial"/>
        </w:rPr>
      </w:pPr>
    </w:p>
    <w:p w:rsidR="008D0BB3" w:rsidRPr="00BE61FF" w:rsidRDefault="008D0BB3" w:rsidP="008D0BB3">
      <w:pPr>
        <w:jc w:val="center"/>
        <w:rPr>
          <w:rFonts w:ascii="Arial" w:hAnsi="Arial" w:cs="Arial"/>
        </w:rPr>
      </w:pPr>
      <w:r>
        <w:rPr>
          <w:rFonts w:ascii="Arial" w:hAnsi="Arial" w:cs="Arial"/>
          <w:noProof/>
          <w:lang w:eastAsia="es-CO"/>
        </w:rPr>
        <w:drawing>
          <wp:inline distT="0" distB="0" distL="0" distR="0" wp14:anchorId="14D0D81C">
            <wp:extent cx="4835058" cy="2358271"/>
            <wp:effectExtent l="0" t="0" r="381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43954" cy="2362610"/>
                    </a:xfrm>
                    <a:prstGeom prst="rect">
                      <a:avLst/>
                    </a:prstGeom>
                    <a:noFill/>
                  </pic:spPr>
                </pic:pic>
              </a:graphicData>
            </a:graphic>
          </wp:inline>
        </w:drawing>
      </w:r>
    </w:p>
    <w:p w:rsidR="00BE61FF" w:rsidRPr="00BE61FF" w:rsidRDefault="00BE61FF" w:rsidP="00BE61FF">
      <w:pPr>
        <w:pStyle w:val="Prrafodelista"/>
        <w:rPr>
          <w:rFonts w:ascii="Arial" w:hAnsi="Arial" w:cs="Arial"/>
          <w:b/>
        </w:rPr>
      </w:pPr>
    </w:p>
    <w:p w:rsidR="00224F0F" w:rsidRPr="004662E1" w:rsidRDefault="00224F0F" w:rsidP="00224F0F">
      <w:pPr>
        <w:pStyle w:val="Prrafodelista"/>
        <w:rPr>
          <w:rFonts w:ascii="Arial" w:hAnsi="Arial" w:cs="Arial"/>
          <w:b/>
          <w:color w:val="222222"/>
          <w:sz w:val="20"/>
          <w:szCs w:val="20"/>
        </w:rPr>
      </w:pPr>
    </w:p>
    <w:p w:rsidR="00224F0F" w:rsidRDefault="004662E1" w:rsidP="00224F0F">
      <w:pPr>
        <w:pStyle w:val="Prrafodelista"/>
        <w:rPr>
          <w:rFonts w:ascii="Arial" w:hAnsi="Arial" w:cs="Arial"/>
        </w:rPr>
      </w:pPr>
      <w:r w:rsidRPr="004662E1">
        <w:rPr>
          <w:rFonts w:ascii="Arial" w:hAnsi="Arial" w:cs="Arial"/>
        </w:rPr>
        <w:t xml:space="preserve">Dicho </w:t>
      </w:r>
      <w:r>
        <w:rPr>
          <w:rFonts w:ascii="Arial" w:hAnsi="Arial" w:cs="Arial"/>
        </w:rPr>
        <w:t>plan se compuso de 3 ejes estratégicos y 8 pilares a saber:</w:t>
      </w:r>
    </w:p>
    <w:p w:rsidR="004662E1" w:rsidRDefault="004662E1" w:rsidP="004662E1">
      <w:pPr>
        <w:pStyle w:val="Prrafodelista"/>
        <w:ind w:left="0"/>
        <w:jc w:val="center"/>
        <w:rPr>
          <w:rFonts w:ascii="Arial" w:hAnsi="Arial" w:cs="Arial"/>
        </w:rPr>
      </w:pPr>
    </w:p>
    <w:p w:rsidR="004662E1" w:rsidRDefault="004662E1" w:rsidP="004662E1">
      <w:pPr>
        <w:pStyle w:val="Prrafodelista"/>
        <w:ind w:left="0"/>
        <w:jc w:val="center"/>
        <w:rPr>
          <w:rFonts w:ascii="Arial" w:hAnsi="Arial" w:cs="Arial"/>
        </w:rPr>
      </w:pPr>
    </w:p>
    <w:p w:rsidR="004662E1" w:rsidRPr="004662E1" w:rsidRDefault="004662E1" w:rsidP="004662E1">
      <w:pPr>
        <w:pStyle w:val="Prrafodelista"/>
        <w:ind w:left="0"/>
        <w:jc w:val="center"/>
        <w:rPr>
          <w:rFonts w:ascii="Arial" w:hAnsi="Arial" w:cs="Arial"/>
        </w:rPr>
      </w:pPr>
      <w:r>
        <w:rPr>
          <w:rFonts w:ascii="Arial" w:hAnsi="Arial" w:cs="Arial"/>
          <w:noProof/>
          <w:lang w:eastAsia="es-CO"/>
        </w:rPr>
        <w:lastRenderedPageBreak/>
        <w:drawing>
          <wp:anchor distT="0" distB="0" distL="114300" distR="114300" simplePos="0" relativeHeight="251659264" behindDoc="0" locked="0" layoutInCell="1" allowOverlap="1">
            <wp:simplePos x="0" y="0"/>
            <wp:positionH relativeFrom="column">
              <wp:posOffset>461586</wp:posOffset>
            </wp:positionH>
            <wp:positionV relativeFrom="paragraph">
              <wp:posOffset>1506</wp:posOffset>
            </wp:positionV>
            <wp:extent cx="5645770" cy="4185163"/>
            <wp:effectExtent l="0" t="0" r="0" b="635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45770" cy="4185163"/>
                    </a:xfrm>
                    <a:prstGeom prst="rect">
                      <a:avLst/>
                    </a:prstGeom>
                    <a:noFill/>
                  </pic:spPr>
                </pic:pic>
              </a:graphicData>
            </a:graphic>
          </wp:anchor>
        </w:drawing>
      </w:r>
    </w:p>
    <w:p w:rsidR="00EF3A58" w:rsidRDefault="00EF3A58">
      <w:pPr>
        <w:rPr>
          <w:rFonts w:ascii="Arial" w:hAnsi="Arial" w:cs="Arial"/>
          <w:b/>
        </w:rPr>
      </w:pPr>
    </w:p>
    <w:p w:rsidR="004662E1" w:rsidRPr="007E01C5" w:rsidRDefault="004662E1" w:rsidP="006C14F4">
      <w:pPr>
        <w:rPr>
          <w:rFonts w:ascii="Arial" w:eastAsia="Times New Roman" w:hAnsi="Arial" w:cs="Arial"/>
          <w:b/>
          <w:sz w:val="24"/>
          <w:szCs w:val="24"/>
        </w:rPr>
      </w:pPr>
      <w:r>
        <w:rPr>
          <w:rFonts w:ascii="Arial" w:hAnsi="Arial" w:cs="Arial"/>
          <w:b/>
        </w:rPr>
        <w:br w:type="page"/>
      </w:r>
      <w:bookmarkStart w:id="1" w:name="_Toc372539262"/>
      <w:r w:rsidRPr="007E01C5">
        <w:rPr>
          <w:rFonts w:ascii="Arial" w:eastAsia="Times New Roman" w:hAnsi="Arial" w:cs="Arial"/>
          <w:b/>
          <w:sz w:val="24"/>
          <w:szCs w:val="24"/>
          <w:lang w:bidi="en-US"/>
        </w:rPr>
        <w:lastRenderedPageBreak/>
        <w:t>RESUMEN DE LA INVERSIÓN POAI 2015 POR EJES ESTRATÉGICOS Y PILARES:</w:t>
      </w:r>
    </w:p>
    <w:p w:rsidR="004662E1" w:rsidRPr="007E01C5" w:rsidRDefault="004662E1" w:rsidP="004662E1">
      <w:pPr>
        <w:jc w:val="both"/>
        <w:rPr>
          <w:rFonts w:eastAsia="Times New Roman"/>
          <w:lang w:bidi="en-US"/>
        </w:rPr>
      </w:pPr>
    </w:p>
    <w:p w:rsidR="004662E1" w:rsidRPr="007E01C5" w:rsidRDefault="004662E1" w:rsidP="004662E1">
      <w:pPr>
        <w:spacing w:line="276" w:lineRule="auto"/>
        <w:jc w:val="center"/>
        <w:rPr>
          <w:rFonts w:ascii="Arial" w:eastAsia="Times New Roman" w:hAnsi="Arial" w:cs="Arial"/>
          <w:i/>
          <w:sz w:val="18"/>
          <w:szCs w:val="18"/>
          <w:lang w:bidi="en-US"/>
        </w:rPr>
      </w:pPr>
      <w:bookmarkStart w:id="2" w:name="_Toc438487403"/>
      <w:r w:rsidRPr="007E01C5">
        <w:rPr>
          <w:rFonts w:ascii="Arial" w:eastAsia="Times New Roman" w:hAnsi="Arial" w:cs="Arial"/>
          <w:i/>
          <w:sz w:val="18"/>
          <w:szCs w:val="18"/>
          <w:lang w:bidi="en-US"/>
        </w:rPr>
        <w:t xml:space="preserve">Tabla No. </w:t>
      </w:r>
      <w:proofErr w:type="gramStart"/>
      <w:r>
        <w:rPr>
          <w:rFonts w:ascii="Arial" w:eastAsia="Times New Roman" w:hAnsi="Arial" w:cs="Arial"/>
          <w:i/>
          <w:sz w:val="18"/>
          <w:szCs w:val="18"/>
          <w:lang w:bidi="en-US"/>
        </w:rPr>
        <w:t>1</w:t>
      </w:r>
      <w:r w:rsidRPr="007E01C5">
        <w:rPr>
          <w:rFonts w:ascii="Arial" w:eastAsia="Times New Roman" w:hAnsi="Arial" w:cs="Arial"/>
          <w:i/>
          <w:sz w:val="18"/>
          <w:szCs w:val="18"/>
          <w:lang w:bidi="en-US"/>
        </w:rPr>
        <w:t xml:space="preserve">  Resumen</w:t>
      </w:r>
      <w:proofErr w:type="gramEnd"/>
      <w:r w:rsidRPr="007E01C5">
        <w:rPr>
          <w:rFonts w:ascii="Arial" w:eastAsia="Times New Roman" w:hAnsi="Arial" w:cs="Arial"/>
          <w:i/>
          <w:sz w:val="18"/>
          <w:szCs w:val="18"/>
          <w:lang w:bidi="en-US"/>
        </w:rPr>
        <w:t xml:space="preserve"> Inversión POAI 2015 por Ejes Estratégicos y Pilares</w:t>
      </w:r>
      <w:bookmarkEnd w:id="2"/>
    </w:p>
    <w:p w:rsidR="004662E1" w:rsidRPr="007E01C5" w:rsidRDefault="004662E1" w:rsidP="004662E1">
      <w:pPr>
        <w:jc w:val="center"/>
        <w:rPr>
          <w:rFonts w:ascii="Arial" w:eastAsia="Times New Roman" w:hAnsi="Arial" w:cs="Arial"/>
          <w:i/>
          <w:sz w:val="18"/>
          <w:szCs w:val="18"/>
          <w:lang w:bidi="en-US"/>
        </w:rPr>
      </w:pPr>
      <w:r w:rsidRPr="007E01C5">
        <w:rPr>
          <w:rFonts w:ascii="Arial" w:eastAsia="Times New Roman" w:hAnsi="Arial" w:cs="Arial"/>
          <w:i/>
          <w:sz w:val="18"/>
          <w:szCs w:val="18"/>
          <w:lang w:bidi="en-US"/>
        </w:rPr>
        <w:t>En Pesos</w:t>
      </w:r>
    </w:p>
    <w:p w:rsidR="004662E1" w:rsidRPr="007E01C5" w:rsidRDefault="004662E1" w:rsidP="004662E1">
      <w:pPr>
        <w:jc w:val="both"/>
        <w:rPr>
          <w:rFonts w:eastAsia="Times New Roman"/>
          <w:sz w:val="20"/>
          <w:szCs w:val="20"/>
          <w:lang w:bidi="en-US"/>
        </w:rPr>
      </w:pPr>
    </w:p>
    <w:p w:rsidR="004662E1" w:rsidRPr="007E01C5" w:rsidRDefault="004662E1" w:rsidP="004662E1">
      <w:pPr>
        <w:jc w:val="both"/>
        <w:rPr>
          <w:rFonts w:eastAsia="Times New Roman"/>
          <w:sz w:val="20"/>
          <w:szCs w:val="20"/>
          <w:lang w:bidi="en-US"/>
        </w:rPr>
      </w:pPr>
      <w:r w:rsidRPr="007E01C5">
        <w:rPr>
          <w:rFonts w:eastAsia="Times New Roman"/>
          <w:noProof/>
          <w:sz w:val="20"/>
          <w:szCs w:val="20"/>
          <w:lang w:eastAsia="es-CO"/>
        </w:rPr>
        <w:drawing>
          <wp:inline distT="0" distB="0" distL="0" distR="0" wp14:anchorId="36DD8F53" wp14:editId="6CD03F63">
            <wp:extent cx="5762625" cy="2409825"/>
            <wp:effectExtent l="0" t="0" r="9525"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2625" cy="2409825"/>
                    </a:xfrm>
                    <a:prstGeom prst="rect">
                      <a:avLst/>
                    </a:prstGeom>
                    <a:noFill/>
                    <a:ln>
                      <a:noFill/>
                    </a:ln>
                  </pic:spPr>
                </pic:pic>
              </a:graphicData>
            </a:graphic>
          </wp:inline>
        </w:drawing>
      </w:r>
    </w:p>
    <w:p w:rsidR="004662E1" w:rsidRPr="007E01C5" w:rsidRDefault="004662E1" w:rsidP="004662E1">
      <w:pPr>
        <w:jc w:val="both"/>
        <w:rPr>
          <w:rFonts w:eastAsia="Times New Roman"/>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Pr="007E01C5" w:rsidRDefault="004662E1" w:rsidP="004662E1">
      <w:pPr>
        <w:jc w:val="both"/>
        <w:rPr>
          <w:rFonts w:eastAsia="Times New Roman"/>
          <w:sz w:val="20"/>
          <w:szCs w:val="20"/>
          <w:lang w:bidi="en-US"/>
        </w:rPr>
      </w:pPr>
    </w:p>
    <w:p w:rsidR="004662E1" w:rsidRPr="007E01C5" w:rsidRDefault="004662E1" w:rsidP="004662E1">
      <w:pPr>
        <w:spacing w:line="276" w:lineRule="auto"/>
        <w:jc w:val="both"/>
        <w:rPr>
          <w:rFonts w:ascii="Arial" w:eastAsia="Times New Roman" w:hAnsi="Arial" w:cs="Arial"/>
          <w:b/>
          <w:sz w:val="24"/>
          <w:szCs w:val="24"/>
        </w:rPr>
      </w:pPr>
      <w:r w:rsidRPr="007E01C5">
        <w:rPr>
          <w:rFonts w:ascii="Arial" w:eastAsia="Times New Roman" w:hAnsi="Arial" w:cs="Arial"/>
          <w:b/>
          <w:sz w:val="24"/>
          <w:szCs w:val="24"/>
        </w:rPr>
        <w:t>DETALLE DEL PLAN OPERATIVO ANUAL DE INVERSIONES 2015 POR PILARES Y EJES ESTRATÉGICOS (Fecha de corte 07-Dic-15):</w:t>
      </w:r>
    </w:p>
    <w:p w:rsidR="004662E1" w:rsidRPr="007E01C5" w:rsidRDefault="004662E1" w:rsidP="004662E1">
      <w:pPr>
        <w:jc w:val="both"/>
        <w:rPr>
          <w:rFonts w:eastAsia="Times New Roman"/>
          <w:lang w:bidi="en-US"/>
        </w:rPr>
      </w:pPr>
    </w:p>
    <w:p w:rsidR="004662E1" w:rsidRPr="007E01C5" w:rsidRDefault="004662E1" w:rsidP="004662E1">
      <w:pPr>
        <w:spacing w:line="276" w:lineRule="auto"/>
        <w:jc w:val="center"/>
        <w:rPr>
          <w:rFonts w:ascii="Arial" w:eastAsia="Times New Roman" w:hAnsi="Arial" w:cs="Arial"/>
          <w:i/>
          <w:sz w:val="18"/>
          <w:szCs w:val="18"/>
          <w:lang w:bidi="en-US"/>
        </w:rPr>
      </w:pPr>
      <w:bookmarkStart w:id="3" w:name="_Toc438487404"/>
      <w:r w:rsidRPr="007E01C5">
        <w:rPr>
          <w:rFonts w:ascii="Arial" w:eastAsia="Times New Roman" w:hAnsi="Arial" w:cs="Arial"/>
          <w:i/>
          <w:sz w:val="18"/>
          <w:szCs w:val="18"/>
          <w:lang w:bidi="en-US"/>
        </w:rPr>
        <w:t xml:space="preserve">Tabla No. </w:t>
      </w:r>
      <w:proofErr w:type="gramStart"/>
      <w:r>
        <w:rPr>
          <w:rFonts w:ascii="Arial" w:eastAsia="Times New Roman" w:hAnsi="Arial" w:cs="Arial"/>
          <w:i/>
          <w:sz w:val="18"/>
          <w:szCs w:val="18"/>
          <w:lang w:bidi="en-US"/>
        </w:rPr>
        <w:t>2</w:t>
      </w:r>
      <w:r w:rsidRPr="007E01C5">
        <w:rPr>
          <w:rFonts w:ascii="Arial" w:eastAsia="Times New Roman" w:hAnsi="Arial" w:cs="Arial"/>
          <w:i/>
          <w:sz w:val="18"/>
          <w:szCs w:val="18"/>
          <w:lang w:bidi="en-US"/>
        </w:rPr>
        <w:t xml:space="preserve">  Detalle</w:t>
      </w:r>
      <w:proofErr w:type="gramEnd"/>
      <w:r w:rsidRPr="007E01C5">
        <w:rPr>
          <w:rFonts w:ascii="Arial" w:eastAsia="Times New Roman" w:hAnsi="Arial" w:cs="Arial"/>
          <w:i/>
          <w:sz w:val="18"/>
          <w:szCs w:val="18"/>
          <w:lang w:bidi="en-US"/>
        </w:rPr>
        <w:t xml:space="preserve"> Plan Operativo Anual de Inversiones POAI 2015 por Ejes Estratégicos y Pilares</w:t>
      </w:r>
      <w:bookmarkEnd w:id="3"/>
    </w:p>
    <w:p w:rsidR="004662E1" w:rsidRPr="007E01C5" w:rsidRDefault="004662E1" w:rsidP="004662E1">
      <w:pPr>
        <w:jc w:val="center"/>
        <w:rPr>
          <w:rFonts w:ascii="Arial" w:eastAsia="Times New Roman" w:hAnsi="Arial" w:cs="Arial"/>
          <w:i/>
          <w:sz w:val="18"/>
          <w:szCs w:val="18"/>
          <w:lang w:bidi="en-US"/>
        </w:rPr>
      </w:pPr>
      <w:r w:rsidRPr="007E01C5">
        <w:rPr>
          <w:rFonts w:ascii="Arial" w:eastAsia="Times New Roman" w:hAnsi="Arial" w:cs="Arial"/>
          <w:i/>
          <w:sz w:val="18"/>
          <w:szCs w:val="18"/>
          <w:lang w:bidi="en-US"/>
        </w:rPr>
        <w:t>Millones de Pesos</w:t>
      </w:r>
    </w:p>
    <w:p w:rsidR="004662E1" w:rsidRPr="007E01C5" w:rsidRDefault="004662E1" w:rsidP="004662E1">
      <w:pPr>
        <w:jc w:val="both"/>
        <w:rPr>
          <w:rFonts w:eastAsia="Times New Roman"/>
          <w:sz w:val="20"/>
          <w:szCs w:val="20"/>
          <w:lang w:bidi="en-US"/>
        </w:rPr>
      </w:pPr>
    </w:p>
    <w:p w:rsidR="004662E1" w:rsidRPr="007E01C5" w:rsidRDefault="004662E1" w:rsidP="004662E1">
      <w:pPr>
        <w:jc w:val="both"/>
        <w:rPr>
          <w:rFonts w:eastAsia="Times New Roman"/>
          <w:sz w:val="20"/>
          <w:szCs w:val="20"/>
          <w:lang w:bidi="en-US"/>
        </w:rPr>
      </w:pPr>
      <w:r w:rsidRPr="007E01C5">
        <w:rPr>
          <w:rFonts w:eastAsia="Times New Roman"/>
          <w:noProof/>
          <w:sz w:val="20"/>
          <w:szCs w:val="20"/>
          <w:lang w:eastAsia="es-CO"/>
        </w:rPr>
        <w:drawing>
          <wp:inline distT="0" distB="0" distL="0" distR="0" wp14:anchorId="0C1CA9CF" wp14:editId="42AB32F4">
            <wp:extent cx="5762625" cy="2933700"/>
            <wp:effectExtent l="0" t="0" r="952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2933700"/>
                    </a:xfrm>
                    <a:prstGeom prst="rect">
                      <a:avLst/>
                    </a:prstGeom>
                    <a:noFill/>
                    <a:ln>
                      <a:noFill/>
                    </a:ln>
                  </pic:spPr>
                </pic:pic>
              </a:graphicData>
            </a:graphic>
          </wp:inline>
        </w:drawing>
      </w: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Default="004662E1" w:rsidP="004662E1">
      <w:pPr>
        <w:jc w:val="center"/>
        <w:rPr>
          <w:rFonts w:ascii="Arial" w:eastAsia="Times New Roman" w:hAnsi="Arial" w:cs="Arial"/>
          <w:i/>
          <w:iCs/>
          <w:sz w:val="18"/>
          <w:szCs w:val="18"/>
          <w:lang w:bidi="en-US"/>
        </w:rPr>
      </w:pPr>
    </w:p>
    <w:p w:rsidR="006C14F4" w:rsidRPr="007E01C5" w:rsidRDefault="006C14F4" w:rsidP="004662E1">
      <w:pPr>
        <w:jc w:val="center"/>
        <w:rPr>
          <w:rFonts w:ascii="Arial" w:eastAsia="Times New Roman" w:hAnsi="Arial" w:cs="Arial"/>
          <w:i/>
          <w:iCs/>
          <w:sz w:val="18"/>
          <w:szCs w:val="18"/>
          <w:lang w:bidi="en-US"/>
        </w:rPr>
      </w:pPr>
    </w:p>
    <w:p w:rsidR="006C14F4" w:rsidRDefault="006C14F4" w:rsidP="004662E1">
      <w:pPr>
        <w:jc w:val="center"/>
        <w:rPr>
          <w:rFonts w:ascii="Arial" w:eastAsia="Times New Roman" w:hAnsi="Arial" w:cs="Arial"/>
          <w:i/>
          <w:iCs/>
          <w:sz w:val="18"/>
          <w:szCs w:val="18"/>
          <w:lang w:bidi="en-US"/>
        </w:rPr>
      </w:pPr>
      <w:bookmarkStart w:id="4" w:name="_Toc438487355"/>
    </w:p>
    <w:p w:rsidR="006C14F4" w:rsidRDefault="006C14F4" w:rsidP="004662E1">
      <w:pPr>
        <w:jc w:val="center"/>
        <w:rPr>
          <w:rFonts w:ascii="Arial" w:eastAsia="Times New Roman" w:hAnsi="Arial" w:cs="Arial"/>
          <w:i/>
          <w:iCs/>
          <w:sz w:val="18"/>
          <w:szCs w:val="18"/>
          <w:lang w:bidi="en-US"/>
        </w:rPr>
      </w:pPr>
    </w:p>
    <w:p w:rsidR="006C14F4" w:rsidRDefault="006C14F4" w:rsidP="004662E1">
      <w:pPr>
        <w:jc w:val="center"/>
        <w:rPr>
          <w:rFonts w:ascii="Arial" w:eastAsia="Times New Roman" w:hAnsi="Arial" w:cs="Arial"/>
          <w:i/>
          <w:iCs/>
          <w:sz w:val="18"/>
          <w:szCs w:val="18"/>
          <w:lang w:bidi="en-US"/>
        </w:rPr>
      </w:pPr>
    </w:p>
    <w:p w:rsidR="006C14F4" w:rsidRDefault="006C14F4" w:rsidP="004662E1">
      <w:pPr>
        <w:jc w:val="center"/>
        <w:rPr>
          <w:rFonts w:ascii="Arial" w:eastAsia="Times New Roman" w:hAnsi="Arial" w:cs="Arial"/>
          <w:i/>
          <w:iCs/>
          <w:sz w:val="18"/>
          <w:szCs w:val="18"/>
          <w:lang w:bidi="en-US"/>
        </w:rPr>
      </w:pPr>
    </w:p>
    <w:p w:rsidR="006C14F4" w:rsidRDefault="006C14F4" w:rsidP="004662E1">
      <w:pPr>
        <w:jc w:val="center"/>
        <w:rPr>
          <w:rFonts w:ascii="Arial" w:eastAsia="Times New Roman" w:hAnsi="Arial" w:cs="Arial"/>
          <w:i/>
          <w:iCs/>
          <w:sz w:val="18"/>
          <w:szCs w:val="18"/>
          <w:lang w:bidi="en-US"/>
        </w:rPr>
      </w:pPr>
    </w:p>
    <w:p w:rsidR="006C14F4" w:rsidRDefault="006C14F4" w:rsidP="004662E1">
      <w:pPr>
        <w:jc w:val="center"/>
        <w:rPr>
          <w:rFonts w:ascii="Arial" w:eastAsia="Times New Roman" w:hAnsi="Arial" w:cs="Arial"/>
          <w:i/>
          <w:iCs/>
          <w:sz w:val="18"/>
          <w:szCs w:val="18"/>
          <w:lang w:bidi="en-US"/>
        </w:rPr>
      </w:pPr>
    </w:p>
    <w:p w:rsidR="006C14F4" w:rsidRDefault="006C14F4" w:rsidP="004662E1">
      <w:pPr>
        <w:jc w:val="center"/>
        <w:rPr>
          <w:rFonts w:ascii="Arial" w:eastAsia="Times New Roman" w:hAnsi="Arial" w:cs="Arial"/>
          <w:i/>
          <w:iCs/>
          <w:sz w:val="18"/>
          <w:szCs w:val="18"/>
          <w:lang w:bidi="en-US"/>
        </w:rPr>
      </w:pPr>
    </w:p>
    <w:p w:rsidR="006C14F4" w:rsidRDefault="006C14F4" w:rsidP="004662E1">
      <w:pPr>
        <w:jc w:val="center"/>
        <w:rPr>
          <w:rFonts w:ascii="Arial" w:eastAsia="Times New Roman" w:hAnsi="Arial" w:cs="Arial"/>
          <w:i/>
          <w:iCs/>
          <w:sz w:val="18"/>
          <w:szCs w:val="18"/>
          <w:lang w:bidi="en-US"/>
        </w:rPr>
      </w:pPr>
    </w:p>
    <w:p w:rsidR="006C14F4" w:rsidRDefault="006C14F4" w:rsidP="004662E1">
      <w:pPr>
        <w:jc w:val="center"/>
        <w:rPr>
          <w:rFonts w:ascii="Arial" w:eastAsia="Times New Roman" w:hAnsi="Arial" w:cs="Arial"/>
          <w:i/>
          <w:iCs/>
          <w:sz w:val="18"/>
          <w:szCs w:val="18"/>
          <w:lang w:bidi="en-US"/>
        </w:rPr>
      </w:pPr>
    </w:p>
    <w:p w:rsidR="006C14F4" w:rsidRDefault="006C14F4" w:rsidP="004662E1">
      <w:pPr>
        <w:jc w:val="center"/>
        <w:rPr>
          <w:rFonts w:ascii="Arial" w:eastAsia="Times New Roman" w:hAnsi="Arial" w:cs="Arial"/>
          <w:i/>
          <w:iCs/>
          <w:sz w:val="18"/>
          <w:szCs w:val="18"/>
          <w:lang w:bidi="en-US"/>
        </w:rPr>
      </w:pPr>
    </w:p>
    <w:p w:rsidR="006C14F4" w:rsidRDefault="006C14F4" w:rsidP="004662E1">
      <w:pPr>
        <w:jc w:val="center"/>
        <w:rPr>
          <w:rFonts w:ascii="Arial" w:eastAsia="Times New Roman" w:hAnsi="Arial" w:cs="Arial"/>
          <w:i/>
          <w:iCs/>
          <w:sz w:val="18"/>
          <w:szCs w:val="18"/>
          <w:lang w:bidi="en-US"/>
        </w:rPr>
      </w:pPr>
    </w:p>
    <w:p w:rsidR="004662E1" w:rsidRPr="007E01C5" w:rsidRDefault="004662E1" w:rsidP="004662E1">
      <w:pPr>
        <w:jc w:val="center"/>
        <w:rPr>
          <w:rFonts w:ascii="Arial" w:eastAsia="Times New Roman" w:hAnsi="Arial" w:cs="Arial"/>
          <w:i/>
          <w:iCs/>
          <w:sz w:val="24"/>
          <w:szCs w:val="24"/>
          <w:lang w:bidi="en-US"/>
        </w:rPr>
      </w:pPr>
      <w:r w:rsidRPr="007E01C5">
        <w:rPr>
          <w:rFonts w:ascii="Arial" w:eastAsia="Times New Roman" w:hAnsi="Arial" w:cs="Arial"/>
          <w:i/>
          <w:iCs/>
          <w:sz w:val="18"/>
          <w:szCs w:val="18"/>
          <w:lang w:bidi="en-US"/>
        </w:rPr>
        <w:t xml:space="preserve">Gráfica </w:t>
      </w:r>
      <w:r w:rsidR="006C14F4">
        <w:rPr>
          <w:rFonts w:ascii="Arial" w:eastAsia="Times New Roman" w:hAnsi="Arial" w:cs="Arial"/>
          <w:i/>
          <w:iCs/>
          <w:sz w:val="18"/>
          <w:szCs w:val="18"/>
          <w:lang w:bidi="en-US"/>
        </w:rPr>
        <w:t>1</w:t>
      </w:r>
      <w:r w:rsidRPr="007E01C5">
        <w:rPr>
          <w:rFonts w:ascii="Arial" w:eastAsia="Times New Roman" w:hAnsi="Arial" w:cs="Arial"/>
          <w:i/>
          <w:iCs/>
          <w:sz w:val="18"/>
          <w:szCs w:val="18"/>
          <w:lang w:bidi="en-US"/>
        </w:rPr>
        <w:t xml:space="preserve"> – Ejecución POAI - (Corte 07 Diciembre de 2015)</w:t>
      </w:r>
      <w:bookmarkEnd w:id="4"/>
    </w:p>
    <w:p w:rsidR="004662E1" w:rsidRPr="007E01C5" w:rsidRDefault="004662E1" w:rsidP="004662E1">
      <w:pPr>
        <w:jc w:val="both"/>
        <w:rPr>
          <w:rFonts w:eastAsia="Times New Roman"/>
          <w:sz w:val="20"/>
          <w:szCs w:val="20"/>
          <w:lang w:bidi="en-US"/>
        </w:rPr>
      </w:pPr>
    </w:p>
    <w:p w:rsidR="004662E1" w:rsidRPr="007E01C5" w:rsidRDefault="004662E1" w:rsidP="004662E1">
      <w:pPr>
        <w:jc w:val="both"/>
        <w:rPr>
          <w:rFonts w:eastAsia="Times New Roman"/>
          <w:sz w:val="20"/>
          <w:szCs w:val="20"/>
          <w:lang w:bidi="en-US"/>
        </w:rPr>
      </w:pPr>
      <w:r w:rsidRPr="007E01C5">
        <w:rPr>
          <w:rFonts w:eastAsia="Times New Roman"/>
          <w:noProof/>
          <w:sz w:val="20"/>
          <w:szCs w:val="20"/>
          <w:lang w:eastAsia="es-CO"/>
        </w:rPr>
        <w:drawing>
          <wp:inline distT="0" distB="0" distL="0" distR="0" wp14:anchorId="3CCEA2CB" wp14:editId="5E480BA7">
            <wp:extent cx="5581650" cy="3466213"/>
            <wp:effectExtent l="0" t="0" r="0" b="1270"/>
            <wp:docPr id="19" name="Gráfico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662E1" w:rsidRDefault="004662E1" w:rsidP="004662E1">
      <w:pPr>
        <w:jc w:val="both"/>
        <w:rPr>
          <w:rFonts w:eastAsia="Times New Roman"/>
          <w:sz w:val="20"/>
          <w:szCs w:val="20"/>
          <w:lang w:bidi="en-US"/>
        </w:rPr>
      </w:pPr>
    </w:p>
    <w:p w:rsidR="006C14F4" w:rsidRDefault="006C14F4" w:rsidP="004662E1">
      <w:pPr>
        <w:jc w:val="both"/>
        <w:rPr>
          <w:rFonts w:eastAsia="Times New Roman"/>
          <w:sz w:val="20"/>
          <w:szCs w:val="20"/>
          <w:lang w:bidi="en-US"/>
        </w:rPr>
      </w:pPr>
    </w:p>
    <w:p w:rsidR="006C14F4" w:rsidRDefault="006C14F4" w:rsidP="006C14F4">
      <w:pPr>
        <w:rPr>
          <w:rFonts w:eastAsia="Times New Roman"/>
          <w:sz w:val="20"/>
          <w:szCs w:val="20"/>
          <w:lang w:bidi="en-US"/>
        </w:rPr>
      </w:pPr>
      <w:r>
        <w:rPr>
          <w:rFonts w:eastAsia="Times New Roman"/>
          <w:sz w:val="20"/>
          <w:szCs w:val="20"/>
          <w:lang w:bidi="en-US"/>
        </w:rPr>
        <w:br w:type="page"/>
      </w:r>
      <w:bookmarkStart w:id="5" w:name="_Toc438487356"/>
    </w:p>
    <w:p w:rsidR="006C14F4" w:rsidRDefault="006C14F4" w:rsidP="006C14F4">
      <w:pPr>
        <w:rPr>
          <w:rFonts w:eastAsia="Times New Roman"/>
          <w:sz w:val="20"/>
          <w:szCs w:val="20"/>
          <w:lang w:bidi="en-US"/>
        </w:rPr>
      </w:pPr>
    </w:p>
    <w:p w:rsidR="006C14F4" w:rsidRDefault="006C14F4" w:rsidP="006C14F4">
      <w:pPr>
        <w:rPr>
          <w:rFonts w:eastAsia="Times New Roman"/>
          <w:sz w:val="20"/>
          <w:szCs w:val="20"/>
          <w:lang w:bidi="en-US"/>
        </w:rPr>
      </w:pPr>
    </w:p>
    <w:p w:rsidR="006C14F4" w:rsidRDefault="006C14F4" w:rsidP="006C14F4">
      <w:pPr>
        <w:rPr>
          <w:rFonts w:eastAsia="Times New Roman"/>
          <w:sz w:val="20"/>
          <w:szCs w:val="20"/>
          <w:lang w:bidi="en-US"/>
        </w:rPr>
      </w:pPr>
    </w:p>
    <w:p w:rsidR="006C14F4" w:rsidRDefault="006C14F4" w:rsidP="006C14F4">
      <w:pPr>
        <w:rPr>
          <w:rFonts w:eastAsia="Times New Roman"/>
          <w:sz w:val="20"/>
          <w:szCs w:val="20"/>
          <w:lang w:bidi="en-US"/>
        </w:rPr>
      </w:pPr>
    </w:p>
    <w:p w:rsidR="006C14F4" w:rsidRDefault="006C14F4" w:rsidP="006C14F4">
      <w:pPr>
        <w:rPr>
          <w:rFonts w:eastAsia="Times New Roman"/>
          <w:sz w:val="20"/>
          <w:szCs w:val="20"/>
          <w:lang w:bidi="en-US"/>
        </w:rPr>
      </w:pPr>
    </w:p>
    <w:p w:rsidR="006C14F4" w:rsidRDefault="006C14F4" w:rsidP="006C14F4">
      <w:pPr>
        <w:rPr>
          <w:rFonts w:eastAsia="Times New Roman"/>
          <w:sz w:val="20"/>
          <w:szCs w:val="20"/>
          <w:lang w:bidi="en-US"/>
        </w:rPr>
      </w:pPr>
    </w:p>
    <w:p w:rsidR="006C14F4" w:rsidRDefault="006C14F4" w:rsidP="006C14F4">
      <w:pPr>
        <w:rPr>
          <w:rFonts w:eastAsia="Times New Roman"/>
          <w:sz w:val="20"/>
          <w:szCs w:val="20"/>
          <w:lang w:bidi="en-US"/>
        </w:rPr>
      </w:pPr>
    </w:p>
    <w:p w:rsidR="006C14F4" w:rsidRDefault="006C14F4" w:rsidP="006C14F4">
      <w:pPr>
        <w:rPr>
          <w:rFonts w:eastAsia="Times New Roman"/>
          <w:sz w:val="20"/>
          <w:szCs w:val="20"/>
          <w:lang w:bidi="en-US"/>
        </w:rPr>
      </w:pPr>
    </w:p>
    <w:p w:rsidR="006C14F4" w:rsidRDefault="006C14F4" w:rsidP="006C14F4">
      <w:pPr>
        <w:rPr>
          <w:rFonts w:eastAsia="Times New Roman"/>
          <w:sz w:val="20"/>
          <w:szCs w:val="20"/>
          <w:lang w:bidi="en-US"/>
        </w:rPr>
      </w:pPr>
    </w:p>
    <w:p w:rsidR="004662E1" w:rsidRPr="007E01C5" w:rsidRDefault="004662E1" w:rsidP="006C14F4">
      <w:pP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Gráfica </w:t>
      </w:r>
      <w:r w:rsidR="006C14F4">
        <w:rPr>
          <w:rFonts w:ascii="Arial" w:eastAsia="Times New Roman" w:hAnsi="Arial" w:cs="Arial"/>
          <w:i/>
          <w:sz w:val="20"/>
          <w:szCs w:val="20"/>
          <w:lang w:bidi="en-US"/>
        </w:rPr>
        <w:t>2</w:t>
      </w:r>
      <w:r w:rsidRPr="007E01C5">
        <w:rPr>
          <w:rFonts w:ascii="Arial" w:eastAsia="Times New Roman" w:hAnsi="Arial" w:cs="Arial"/>
          <w:i/>
          <w:sz w:val="20"/>
          <w:szCs w:val="20"/>
          <w:lang w:bidi="en-US"/>
        </w:rPr>
        <w:t xml:space="preserve"> – Presupuestado y Ejecutado por Pilares - (Corte 07 Diciembre de 2015)</w:t>
      </w:r>
      <w:bookmarkEnd w:id="5"/>
    </w:p>
    <w:p w:rsidR="004662E1" w:rsidRPr="007E01C5" w:rsidRDefault="004662E1" w:rsidP="004662E1">
      <w:pPr>
        <w:jc w:val="center"/>
        <w:rPr>
          <w:rFonts w:eastAsia="Times New Roman"/>
          <w:i/>
          <w:sz w:val="20"/>
          <w:szCs w:val="20"/>
          <w:lang w:bidi="en-US"/>
        </w:rPr>
      </w:pPr>
    </w:p>
    <w:p w:rsidR="004662E1" w:rsidRPr="007E01C5" w:rsidRDefault="004662E1" w:rsidP="004662E1">
      <w:pPr>
        <w:jc w:val="both"/>
        <w:rPr>
          <w:rFonts w:eastAsia="Times New Roman"/>
          <w:sz w:val="20"/>
          <w:szCs w:val="20"/>
          <w:lang w:bidi="en-US"/>
        </w:rPr>
      </w:pPr>
      <w:r w:rsidRPr="007E01C5">
        <w:rPr>
          <w:rFonts w:eastAsia="Times New Roman"/>
          <w:noProof/>
          <w:sz w:val="20"/>
          <w:szCs w:val="20"/>
          <w:lang w:eastAsia="es-CO"/>
        </w:rPr>
        <w:drawing>
          <wp:inline distT="0" distB="0" distL="0" distR="0" wp14:anchorId="0CF3F191" wp14:editId="058710BC">
            <wp:extent cx="5772150" cy="3429000"/>
            <wp:effectExtent l="0" t="0" r="0" b="0"/>
            <wp:docPr id="20" name="Gráfico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662E1" w:rsidRPr="007E01C5" w:rsidRDefault="004662E1" w:rsidP="004662E1">
      <w:pPr>
        <w:jc w:val="both"/>
        <w:rPr>
          <w:rFonts w:eastAsia="Times New Roman"/>
          <w:sz w:val="20"/>
          <w:szCs w:val="20"/>
          <w:lang w:bidi="en-US"/>
        </w:rPr>
      </w:pPr>
    </w:p>
    <w:p w:rsidR="006C14F4" w:rsidRDefault="006C14F4" w:rsidP="004662E1">
      <w:pPr>
        <w:jc w:val="center"/>
        <w:rPr>
          <w:rFonts w:ascii="Arial" w:eastAsia="Times New Roman" w:hAnsi="Arial" w:cs="Arial"/>
          <w:b/>
          <w:sz w:val="24"/>
          <w:szCs w:val="24"/>
          <w:lang w:bidi="en-US"/>
        </w:rPr>
      </w:pPr>
    </w:p>
    <w:p w:rsidR="006C14F4" w:rsidRDefault="006C14F4" w:rsidP="004662E1">
      <w:pPr>
        <w:jc w:val="center"/>
        <w:rPr>
          <w:rFonts w:ascii="Arial" w:eastAsia="Times New Roman" w:hAnsi="Arial" w:cs="Arial"/>
          <w:b/>
          <w:sz w:val="24"/>
          <w:szCs w:val="24"/>
          <w:lang w:bidi="en-US"/>
        </w:rPr>
      </w:pPr>
    </w:p>
    <w:p w:rsidR="006C14F4" w:rsidRDefault="006C14F4">
      <w:pPr>
        <w:rPr>
          <w:rFonts w:ascii="Arial" w:eastAsia="Times New Roman" w:hAnsi="Arial" w:cs="Arial"/>
          <w:b/>
          <w:sz w:val="24"/>
          <w:szCs w:val="24"/>
          <w:lang w:bidi="en-US"/>
        </w:rPr>
      </w:pPr>
      <w:r>
        <w:rPr>
          <w:rFonts w:ascii="Arial" w:eastAsia="Times New Roman" w:hAnsi="Arial" w:cs="Arial"/>
          <w:b/>
          <w:sz w:val="24"/>
          <w:szCs w:val="24"/>
          <w:lang w:bidi="en-US"/>
        </w:rPr>
        <w:br w:type="page"/>
      </w:r>
    </w:p>
    <w:p w:rsidR="004662E1" w:rsidRPr="008726A2" w:rsidRDefault="004662E1" w:rsidP="004662E1">
      <w:pPr>
        <w:jc w:val="center"/>
        <w:rPr>
          <w:rFonts w:ascii="Arial" w:eastAsia="Times New Roman" w:hAnsi="Arial" w:cs="Arial"/>
          <w:b/>
          <w:sz w:val="24"/>
          <w:szCs w:val="24"/>
        </w:rPr>
      </w:pPr>
      <w:r w:rsidRPr="008726A2">
        <w:rPr>
          <w:rFonts w:ascii="Arial" w:eastAsia="Times New Roman" w:hAnsi="Arial" w:cs="Arial"/>
          <w:b/>
          <w:sz w:val="24"/>
          <w:szCs w:val="24"/>
          <w:lang w:bidi="en-US"/>
        </w:rPr>
        <w:lastRenderedPageBreak/>
        <w:t>ANÁLISIS HISTÓRICO DEL PLAN DE INVERSIONES 2008 AL 2015</w:t>
      </w:r>
    </w:p>
    <w:p w:rsidR="004662E1" w:rsidRPr="007E01C5" w:rsidRDefault="004662E1" w:rsidP="004662E1">
      <w:pPr>
        <w:jc w:val="both"/>
        <w:rPr>
          <w:rFonts w:ascii="Arial Narrow" w:eastAsia="Times New Roman" w:hAnsi="Arial Narrow"/>
          <w:sz w:val="24"/>
          <w:szCs w:val="24"/>
          <w:lang w:bidi="en-US"/>
        </w:rPr>
      </w:pPr>
    </w:p>
    <w:p w:rsidR="004662E1" w:rsidRPr="007E01C5" w:rsidRDefault="004662E1" w:rsidP="004662E1">
      <w:pPr>
        <w:jc w:val="both"/>
        <w:rPr>
          <w:rFonts w:ascii="Arial Narrow" w:eastAsia="Times New Roman" w:hAnsi="Arial Narrow"/>
          <w:sz w:val="24"/>
          <w:szCs w:val="24"/>
          <w:lang w:bidi="en-US"/>
        </w:rPr>
      </w:pPr>
    </w:p>
    <w:p w:rsidR="004662E1" w:rsidRPr="007E01C5" w:rsidRDefault="004662E1" w:rsidP="004662E1">
      <w:pPr>
        <w:spacing w:line="276" w:lineRule="auto"/>
        <w:jc w:val="both"/>
        <w:rPr>
          <w:rFonts w:ascii="Arial" w:eastAsia="Times New Roman" w:hAnsi="Arial" w:cs="Arial"/>
          <w:b/>
          <w:szCs w:val="20"/>
          <w:lang w:bidi="en-US"/>
        </w:rPr>
      </w:pPr>
      <w:r w:rsidRPr="007E01C5">
        <w:rPr>
          <w:rFonts w:ascii="Arial" w:eastAsia="Times New Roman" w:hAnsi="Arial" w:cs="Arial"/>
          <w:b/>
          <w:szCs w:val="20"/>
          <w:lang w:bidi="en-US"/>
        </w:rPr>
        <w:t>HISTÓRICO DE LA INVERSIÓN DEL 2008 AL 2015 POR PILARES ESTRATÉGICOS DEL PLAN DE DESARROLLO Y PLAN OPERATIVO ANUAL DE INVERSIONES (POAI):</w:t>
      </w:r>
    </w:p>
    <w:p w:rsidR="004662E1" w:rsidRPr="007E01C5" w:rsidRDefault="004662E1" w:rsidP="004662E1">
      <w:pPr>
        <w:spacing w:line="276" w:lineRule="auto"/>
        <w:jc w:val="center"/>
        <w:rPr>
          <w:rFonts w:ascii="Arial" w:eastAsia="Times New Roman" w:hAnsi="Arial" w:cs="Arial"/>
          <w:i/>
          <w:sz w:val="18"/>
          <w:szCs w:val="18"/>
          <w:lang w:bidi="en-US"/>
        </w:rPr>
      </w:pPr>
    </w:p>
    <w:p w:rsidR="004662E1" w:rsidRPr="007E01C5" w:rsidRDefault="004662E1" w:rsidP="004662E1">
      <w:pPr>
        <w:spacing w:line="276" w:lineRule="auto"/>
        <w:jc w:val="center"/>
        <w:rPr>
          <w:rFonts w:ascii="Arial" w:eastAsia="Times New Roman" w:hAnsi="Arial" w:cs="Arial"/>
          <w:i/>
          <w:sz w:val="18"/>
          <w:szCs w:val="18"/>
          <w:lang w:bidi="en-US"/>
        </w:rPr>
      </w:pPr>
      <w:bookmarkStart w:id="6" w:name="_Toc438487405"/>
      <w:r w:rsidRPr="007E01C5">
        <w:rPr>
          <w:rFonts w:ascii="Arial" w:eastAsia="Times New Roman" w:hAnsi="Arial" w:cs="Arial"/>
          <w:i/>
          <w:sz w:val="18"/>
          <w:szCs w:val="18"/>
          <w:lang w:bidi="en-US"/>
        </w:rPr>
        <w:t xml:space="preserve">Tabla No. </w:t>
      </w:r>
      <w:proofErr w:type="gramStart"/>
      <w:r w:rsidR="006C14F4">
        <w:rPr>
          <w:rFonts w:ascii="Arial" w:eastAsia="Times New Roman" w:hAnsi="Arial" w:cs="Arial"/>
          <w:i/>
          <w:sz w:val="18"/>
          <w:szCs w:val="18"/>
          <w:lang w:bidi="en-US"/>
        </w:rPr>
        <w:t>2</w:t>
      </w:r>
      <w:r w:rsidRPr="007E01C5">
        <w:rPr>
          <w:rFonts w:ascii="Arial" w:eastAsia="Times New Roman" w:hAnsi="Arial" w:cs="Arial"/>
          <w:i/>
          <w:sz w:val="18"/>
          <w:szCs w:val="18"/>
          <w:lang w:bidi="en-US"/>
        </w:rPr>
        <w:t xml:space="preserve">  Histórico</w:t>
      </w:r>
      <w:proofErr w:type="gramEnd"/>
      <w:r w:rsidRPr="007E01C5">
        <w:rPr>
          <w:rFonts w:ascii="Arial" w:eastAsia="Times New Roman" w:hAnsi="Arial" w:cs="Arial"/>
          <w:i/>
          <w:sz w:val="18"/>
          <w:szCs w:val="18"/>
          <w:lang w:bidi="en-US"/>
        </w:rPr>
        <w:t xml:space="preserve"> Inversión 2008 - 2015 por Pilares Estratégicos del Plan de Desarrollo y Plan Operativo Anual de Inversiones - POAI</w:t>
      </w:r>
      <w:bookmarkEnd w:id="6"/>
    </w:p>
    <w:p w:rsidR="004662E1" w:rsidRPr="007E01C5" w:rsidRDefault="004662E1" w:rsidP="004662E1">
      <w:pPr>
        <w:jc w:val="center"/>
        <w:rPr>
          <w:rFonts w:ascii="Arial" w:eastAsia="Times New Roman" w:hAnsi="Arial" w:cs="Arial"/>
          <w:i/>
          <w:sz w:val="18"/>
          <w:szCs w:val="18"/>
          <w:lang w:bidi="en-US"/>
        </w:rPr>
      </w:pPr>
      <w:r w:rsidRPr="007E01C5">
        <w:rPr>
          <w:rFonts w:ascii="Arial" w:eastAsia="Times New Roman" w:hAnsi="Arial" w:cs="Arial"/>
          <w:i/>
          <w:sz w:val="18"/>
          <w:szCs w:val="18"/>
          <w:lang w:bidi="en-US"/>
        </w:rPr>
        <w:t>Millones de Pesos</w:t>
      </w:r>
    </w:p>
    <w:p w:rsidR="004662E1" w:rsidRPr="007E01C5" w:rsidRDefault="004662E1" w:rsidP="004662E1">
      <w:pPr>
        <w:jc w:val="both"/>
        <w:rPr>
          <w:rFonts w:eastAsia="Times New Roman"/>
          <w:sz w:val="18"/>
          <w:lang w:bidi="en-US"/>
        </w:rPr>
      </w:pPr>
    </w:p>
    <w:p w:rsidR="004662E1" w:rsidRPr="007E01C5" w:rsidRDefault="004662E1" w:rsidP="004662E1">
      <w:pPr>
        <w:jc w:val="both"/>
        <w:rPr>
          <w:rFonts w:eastAsia="Times New Roman"/>
          <w:sz w:val="20"/>
          <w:szCs w:val="20"/>
          <w:lang w:bidi="en-US"/>
        </w:rPr>
      </w:pPr>
      <w:r w:rsidRPr="007E01C5">
        <w:rPr>
          <w:rFonts w:eastAsia="Times New Roman"/>
          <w:noProof/>
          <w:sz w:val="20"/>
          <w:szCs w:val="20"/>
          <w:lang w:eastAsia="es-CO"/>
        </w:rPr>
        <w:drawing>
          <wp:inline distT="0" distB="0" distL="0" distR="0" wp14:anchorId="2999B398" wp14:editId="088BAA02">
            <wp:extent cx="5753100" cy="257175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2571750"/>
                    </a:xfrm>
                    <a:prstGeom prst="rect">
                      <a:avLst/>
                    </a:prstGeom>
                    <a:noFill/>
                    <a:ln>
                      <a:noFill/>
                    </a:ln>
                  </pic:spPr>
                </pic:pic>
              </a:graphicData>
            </a:graphic>
          </wp:inline>
        </w:drawing>
      </w:r>
    </w:p>
    <w:p w:rsidR="004662E1" w:rsidRPr="007E01C5" w:rsidRDefault="004662E1" w:rsidP="004662E1">
      <w:pPr>
        <w:jc w:val="both"/>
        <w:rPr>
          <w:rFonts w:eastAsia="Times New Roman"/>
          <w:sz w:val="20"/>
          <w:szCs w:val="20"/>
          <w:lang w:bidi="en-US"/>
        </w:rPr>
      </w:pPr>
      <w:r w:rsidRPr="007E01C5">
        <w:rPr>
          <w:rFonts w:ascii="Arial Narrow" w:eastAsia="Times New Roman" w:hAnsi="Arial Narrow"/>
          <w:sz w:val="20"/>
          <w:szCs w:val="24"/>
          <w:lang w:bidi="en-US"/>
        </w:rPr>
        <w:t>*Fecha de Corte: 07-DIC-2015</w:t>
      </w:r>
    </w:p>
    <w:p w:rsidR="004662E1" w:rsidRPr="007E01C5" w:rsidRDefault="004662E1" w:rsidP="004662E1">
      <w:pPr>
        <w:jc w:val="both"/>
        <w:rPr>
          <w:rFonts w:eastAsia="Times New Roman"/>
          <w:szCs w:val="20"/>
          <w:lang w:bidi="en-US"/>
        </w:rPr>
      </w:pPr>
    </w:p>
    <w:p w:rsidR="004662E1" w:rsidRPr="007E01C5" w:rsidRDefault="004662E1" w:rsidP="004662E1">
      <w:pPr>
        <w:jc w:val="center"/>
        <w:rPr>
          <w:rFonts w:ascii="Arial" w:eastAsia="Times New Roman" w:hAnsi="Arial" w:cs="Arial"/>
          <w:i/>
          <w:sz w:val="20"/>
          <w:szCs w:val="20"/>
          <w:lang w:bidi="en-US"/>
        </w:rPr>
      </w:pPr>
      <w:bookmarkStart w:id="7" w:name="_Toc438487357"/>
      <w:r w:rsidRPr="007E01C5">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3</w:t>
      </w:r>
      <w:r w:rsidRPr="007E01C5">
        <w:rPr>
          <w:rFonts w:ascii="Arial" w:eastAsia="Times New Roman" w:hAnsi="Arial" w:cs="Arial"/>
          <w:i/>
          <w:sz w:val="20"/>
          <w:szCs w:val="20"/>
          <w:lang w:bidi="en-US"/>
        </w:rPr>
        <w:t xml:space="preserve"> – Consolidado Inversión 2008 - 2015 - (Corte 07 Diciembre de 2015)</w:t>
      </w:r>
      <w:bookmarkEnd w:id="7"/>
    </w:p>
    <w:p w:rsidR="004662E1" w:rsidRPr="007E01C5" w:rsidRDefault="004662E1" w:rsidP="004662E1">
      <w:pPr>
        <w:jc w:val="both"/>
        <w:rPr>
          <w:rFonts w:eastAsia="Times New Roman"/>
          <w:sz w:val="18"/>
          <w:szCs w:val="20"/>
          <w:lang w:bidi="en-US"/>
        </w:rPr>
      </w:pPr>
    </w:p>
    <w:p w:rsidR="004662E1" w:rsidRPr="007E01C5" w:rsidRDefault="004662E1" w:rsidP="004662E1">
      <w:pPr>
        <w:jc w:val="center"/>
        <w:rPr>
          <w:rFonts w:eastAsia="Times New Roman"/>
          <w:sz w:val="20"/>
          <w:szCs w:val="20"/>
          <w:lang w:bidi="en-US"/>
        </w:rPr>
      </w:pPr>
      <w:r w:rsidRPr="007E01C5">
        <w:rPr>
          <w:rFonts w:eastAsia="Times New Roman"/>
          <w:noProof/>
          <w:sz w:val="20"/>
          <w:szCs w:val="20"/>
          <w:lang w:eastAsia="es-CO"/>
        </w:rPr>
        <w:drawing>
          <wp:inline distT="0" distB="0" distL="0" distR="0" wp14:anchorId="7105D5C2" wp14:editId="07E654D0">
            <wp:extent cx="5438775" cy="3153104"/>
            <wp:effectExtent l="0" t="0" r="9525" b="9525"/>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662E1" w:rsidRPr="007E01C5" w:rsidRDefault="004662E1" w:rsidP="004662E1">
      <w:pPr>
        <w:jc w:val="both"/>
        <w:rPr>
          <w:rFonts w:ascii="Arial" w:eastAsia="Times New Roman" w:hAnsi="Arial" w:cs="Arial"/>
          <w:i/>
          <w:sz w:val="20"/>
          <w:szCs w:val="20"/>
          <w:lang w:bidi="en-US"/>
        </w:rPr>
      </w:pPr>
    </w:p>
    <w:p w:rsidR="004662E1"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6B5E9A" w:rsidRDefault="006B5E9A" w:rsidP="004662E1">
      <w:pPr>
        <w:jc w:val="both"/>
        <w:rPr>
          <w:rFonts w:ascii="Arial" w:eastAsia="Times New Roman" w:hAnsi="Arial" w:cs="Arial"/>
          <w:i/>
          <w:sz w:val="20"/>
          <w:szCs w:val="20"/>
          <w:lang w:bidi="en-US"/>
        </w:rPr>
      </w:pPr>
    </w:p>
    <w:p w:rsidR="006B5E9A" w:rsidRPr="007E01C5" w:rsidRDefault="006B5E9A" w:rsidP="004662E1">
      <w:pPr>
        <w:jc w:val="both"/>
        <w:rPr>
          <w:rFonts w:ascii="Arial" w:eastAsia="Times New Roman" w:hAnsi="Arial" w:cs="Arial"/>
          <w:i/>
          <w:sz w:val="20"/>
          <w:szCs w:val="20"/>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7E01C5">
        <w:rPr>
          <w:rFonts w:ascii="Arial" w:eastAsia="Times New Roman" w:hAnsi="Arial" w:cs="Arial"/>
          <w:sz w:val="24"/>
          <w:szCs w:val="24"/>
          <w:lang w:bidi="en-US"/>
        </w:rPr>
        <w:t>La gráfica anterior la podemos resumir en las siguientes cifras, donde se muestra la mayor concentración de la inversión del plan de desarrollo que se termina y cuáles son los pilares que se han fortalecido a través del tiempo.</w:t>
      </w:r>
    </w:p>
    <w:p w:rsidR="004662E1" w:rsidRDefault="004662E1" w:rsidP="004662E1">
      <w:pPr>
        <w:spacing w:line="276" w:lineRule="auto"/>
        <w:jc w:val="both"/>
        <w:rPr>
          <w:rFonts w:ascii="Arial" w:eastAsia="Times New Roman" w:hAnsi="Arial" w:cs="Arial"/>
          <w:sz w:val="24"/>
          <w:szCs w:val="24"/>
          <w:lang w:bidi="en-US"/>
        </w:rPr>
      </w:pPr>
    </w:p>
    <w:p w:rsidR="006B5E9A" w:rsidRPr="007E01C5" w:rsidRDefault="006B5E9A" w:rsidP="004662E1">
      <w:pPr>
        <w:spacing w:line="276" w:lineRule="auto"/>
        <w:jc w:val="both"/>
        <w:rPr>
          <w:rFonts w:ascii="Arial" w:eastAsia="Times New Roman" w:hAnsi="Arial" w:cs="Arial"/>
          <w:sz w:val="24"/>
          <w:szCs w:val="24"/>
          <w:lang w:bidi="en-US"/>
        </w:rPr>
      </w:pPr>
    </w:p>
    <w:p w:rsidR="004662E1" w:rsidRPr="007E01C5" w:rsidRDefault="004662E1" w:rsidP="004662E1">
      <w:pPr>
        <w:spacing w:line="276" w:lineRule="auto"/>
        <w:jc w:val="center"/>
        <w:rPr>
          <w:rFonts w:ascii="Arial" w:eastAsia="Times New Roman" w:hAnsi="Arial" w:cs="Arial"/>
          <w:i/>
          <w:sz w:val="18"/>
          <w:szCs w:val="18"/>
          <w:lang w:bidi="en-US"/>
        </w:rPr>
      </w:pPr>
      <w:bookmarkStart w:id="8" w:name="_Toc438487406"/>
      <w:r w:rsidRPr="007E01C5">
        <w:rPr>
          <w:rFonts w:ascii="Arial" w:eastAsia="Times New Roman" w:hAnsi="Arial" w:cs="Arial"/>
          <w:i/>
          <w:sz w:val="18"/>
          <w:szCs w:val="18"/>
          <w:lang w:bidi="en-US"/>
        </w:rPr>
        <w:t xml:space="preserve">Tabla No. </w:t>
      </w:r>
      <w:proofErr w:type="gramStart"/>
      <w:r w:rsidR="006B5E9A">
        <w:rPr>
          <w:rFonts w:ascii="Arial" w:eastAsia="Times New Roman" w:hAnsi="Arial" w:cs="Arial"/>
          <w:i/>
          <w:sz w:val="18"/>
          <w:szCs w:val="18"/>
          <w:lang w:bidi="en-US"/>
        </w:rPr>
        <w:t>3</w:t>
      </w:r>
      <w:r w:rsidRPr="007E01C5">
        <w:rPr>
          <w:rFonts w:ascii="Arial" w:eastAsia="Times New Roman" w:hAnsi="Arial" w:cs="Arial"/>
          <w:i/>
          <w:sz w:val="18"/>
          <w:szCs w:val="18"/>
          <w:lang w:bidi="en-US"/>
        </w:rPr>
        <w:t xml:space="preserve">  Histórico</w:t>
      </w:r>
      <w:proofErr w:type="gramEnd"/>
      <w:r w:rsidRPr="007E01C5">
        <w:rPr>
          <w:rFonts w:ascii="Arial" w:eastAsia="Times New Roman" w:hAnsi="Arial" w:cs="Arial"/>
          <w:i/>
          <w:sz w:val="18"/>
          <w:szCs w:val="18"/>
          <w:lang w:bidi="en-US"/>
        </w:rPr>
        <w:t xml:space="preserve"> Inversión 2008 - 2015 por Pilares Estratégicos y % Participación por Pilar</w:t>
      </w:r>
      <w:bookmarkEnd w:id="8"/>
    </w:p>
    <w:p w:rsidR="004662E1" w:rsidRDefault="004662E1" w:rsidP="004662E1">
      <w:pPr>
        <w:jc w:val="center"/>
        <w:rPr>
          <w:rFonts w:ascii="Arial" w:eastAsia="Times New Roman" w:hAnsi="Arial" w:cs="Arial"/>
          <w:i/>
          <w:sz w:val="18"/>
          <w:szCs w:val="18"/>
          <w:lang w:bidi="en-US"/>
        </w:rPr>
      </w:pPr>
      <w:r w:rsidRPr="007E01C5">
        <w:rPr>
          <w:rFonts w:ascii="Arial" w:eastAsia="Times New Roman" w:hAnsi="Arial" w:cs="Arial"/>
          <w:i/>
          <w:sz w:val="18"/>
          <w:szCs w:val="18"/>
          <w:lang w:bidi="en-US"/>
        </w:rPr>
        <w:t>Millones de Pesos</w:t>
      </w:r>
    </w:p>
    <w:p w:rsidR="006B5E9A" w:rsidRPr="007E01C5" w:rsidRDefault="006B5E9A" w:rsidP="004662E1">
      <w:pPr>
        <w:jc w:val="center"/>
        <w:rPr>
          <w:rFonts w:ascii="Arial" w:eastAsia="Times New Roman" w:hAnsi="Arial" w:cs="Arial"/>
          <w:i/>
          <w:sz w:val="18"/>
          <w:szCs w:val="18"/>
          <w:lang w:bidi="en-US"/>
        </w:rPr>
      </w:pPr>
    </w:p>
    <w:tbl>
      <w:tblPr>
        <w:tblW w:w="8843" w:type="dxa"/>
        <w:tblCellMar>
          <w:left w:w="70" w:type="dxa"/>
          <w:right w:w="70" w:type="dxa"/>
        </w:tblCellMar>
        <w:tblLook w:val="04A0" w:firstRow="1" w:lastRow="0" w:firstColumn="1" w:lastColumn="0" w:noHBand="0" w:noVBand="1"/>
      </w:tblPr>
      <w:tblGrid>
        <w:gridCol w:w="1113"/>
        <w:gridCol w:w="4218"/>
        <w:gridCol w:w="1685"/>
        <w:gridCol w:w="1827"/>
      </w:tblGrid>
      <w:tr w:rsidR="004662E1" w:rsidRPr="007E01C5" w:rsidTr="009A5F28">
        <w:trPr>
          <w:trHeight w:val="672"/>
        </w:trPr>
        <w:tc>
          <w:tcPr>
            <w:tcW w:w="5331" w:type="dxa"/>
            <w:gridSpan w:val="2"/>
            <w:tcBorders>
              <w:top w:val="single" w:sz="8" w:space="0" w:color="auto"/>
              <w:left w:val="single" w:sz="8" w:space="0" w:color="auto"/>
              <w:bottom w:val="single" w:sz="8" w:space="0" w:color="auto"/>
              <w:right w:val="single" w:sz="4" w:space="0" w:color="auto"/>
            </w:tcBorders>
            <w:shd w:val="clear" w:color="000000" w:fill="E2EFDA"/>
            <w:vAlign w:val="center"/>
            <w:hideMark/>
          </w:tcPr>
          <w:p w:rsidR="004662E1" w:rsidRPr="007E01C5" w:rsidRDefault="004662E1" w:rsidP="009A5F28">
            <w:pPr>
              <w:jc w:val="center"/>
              <w:rPr>
                <w:rFonts w:ascii="Arial Narrow" w:eastAsia="Times New Roman" w:hAnsi="Arial Narrow"/>
                <w:b/>
                <w:bCs/>
                <w:color w:val="000000"/>
                <w:sz w:val="28"/>
                <w:szCs w:val="28"/>
                <w:lang w:eastAsia="es-CO"/>
              </w:rPr>
            </w:pPr>
            <w:r w:rsidRPr="007E01C5">
              <w:rPr>
                <w:rFonts w:ascii="Arial Narrow" w:eastAsia="Times New Roman" w:hAnsi="Arial Narrow"/>
                <w:b/>
                <w:bCs/>
                <w:color w:val="000000"/>
                <w:sz w:val="28"/>
                <w:szCs w:val="28"/>
                <w:lang w:eastAsia="es-CO"/>
              </w:rPr>
              <w:t>Histórico Inversión POAI 2008-2015</w:t>
            </w:r>
          </w:p>
        </w:tc>
        <w:tc>
          <w:tcPr>
            <w:tcW w:w="1685" w:type="dxa"/>
            <w:tcBorders>
              <w:top w:val="single" w:sz="8" w:space="0" w:color="auto"/>
              <w:left w:val="single" w:sz="4" w:space="0" w:color="auto"/>
              <w:bottom w:val="single" w:sz="8" w:space="0" w:color="auto"/>
              <w:right w:val="single" w:sz="4" w:space="0" w:color="auto"/>
            </w:tcBorders>
            <w:shd w:val="clear" w:color="000000" w:fill="E2EFDA"/>
            <w:vAlign w:val="center"/>
            <w:hideMark/>
          </w:tcPr>
          <w:p w:rsidR="004662E1" w:rsidRPr="007E01C5" w:rsidRDefault="004662E1" w:rsidP="009A5F28">
            <w:pPr>
              <w:jc w:val="center"/>
              <w:rPr>
                <w:rFonts w:ascii="Arial Narrow" w:eastAsia="Times New Roman" w:hAnsi="Arial Narrow"/>
                <w:b/>
                <w:bCs/>
                <w:color w:val="000000"/>
                <w:sz w:val="24"/>
                <w:szCs w:val="24"/>
                <w:lang w:eastAsia="es-CO"/>
              </w:rPr>
            </w:pPr>
            <w:r w:rsidRPr="007E01C5">
              <w:rPr>
                <w:rFonts w:ascii="Arial Narrow" w:eastAsia="Times New Roman" w:hAnsi="Arial Narrow"/>
                <w:b/>
                <w:bCs/>
                <w:color w:val="000000"/>
                <w:sz w:val="24"/>
                <w:szCs w:val="24"/>
                <w:lang w:eastAsia="es-CO"/>
              </w:rPr>
              <w:t>EJECUCIÓN 2008-2015</w:t>
            </w:r>
          </w:p>
        </w:tc>
        <w:tc>
          <w:tcPr>
            <w:tcW w:w="1827" w:type="dxa"/>
            <w:tcBorders>
              <w:top w:val="single" w:sz="8" w:space="0" w:color="auto"/>
              <w:left w:val="nil"/>
              <w:bottom w:val="single" w:sz="8" w:space="0" w:color="auto"/>
              <w:right w:val="single" w:sz="8" w:space="0" w:color="auto"/>
            </w:tcBorders>
            <w:shd w:val="clear" w:color="000000" w:fill="E2EFDA"/>
            <w:vAlign w:val="center"/>
            <w:hideMark/>
          </w:tcPr>
          <w:p w:rsidR="004662E1" w:rsidRPr="007E01C5" w:rsidRDefault="004662E1" w:rsidP="009A5F28">
            <w:pPr>
              <w:jc w:val="center"/>
              <w:rPr>
                <w:rFonts w:ascii="Arial Narrow" w:eastAsia="Times New Roman" w:hAnsi="Arial Narrow"/>
                <w:b/>
                <w:bCs/>
                <w:color w:val="000000"/>
                <w:sz w:val="24"/>
                <w:szCs w:val="24"/>
                <w:lang w:eastAsia="es-CO"/>
              </w:rPr>
            </w:pPr>
            <w:r w:rsidRPr="007E01C5">
              <w:rPr>
                <w:rFonts w:ascii="Arial Narrow" w:eastAsia="Times New Roman" w:hAnsi="Arial Narrow"/>
                <w:b/>
                <w:bCs/>
                <w:color w:val="000000"/>
                <w:sz w:val="24"/>
                <w:szCs w:val="24"/>
                <w:lang w:eastAsia="es-CO"/>
              </w:rPr>
              <w:t>EJECUCIÓN % 2008-2015</w:t>
            </w:r>
          </w:p>
        </w:tc>
      </w:tr>
      <w:tr w:rsidR="004662E1" w:rsidRPr="007E01C5" w:rsidTr="006B5E9A">
        <w:trPr>
          <w:trHeight w:val="425"/>
        </w:trPr>
        <w:tc>
          <w:tcPr>
            <w:tcW w:w="1113" w:type="dxa"/>
            <w:tcBorders>
              <w:top w:val="nil"/>
              <w:left w:val="single" w:sz="8" w:space="0" w:color="auto"/>
              <w:bottom w:val="single" w:sz="4" w:space="0" w:color="auto"/>
              <w:right w:val="single" w:sz="4"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Pilar 1</w:t>
            </w:r>
          </w:p>
        </w:tc>
        <w:tc>
          <w:tcPr>
            <w:tcW w:w="4218" w:type="dxa"/>
            <w:tcBorders>
              <w:top w:val="nil"/>
              <w:left w:val="nil"/>
              <w:bottom w:val="single" w:sz="4" w:space="0" w:color="auto"/>
              <w:right w:val="single" w:sz="4" w:space="0" w:color="auto"/>
            </w:tcBorders>
            <w:shd w:val="clear" w:color="auto" w:fill="auto"/>
            <w:vAlign w:val="center"/>
            <w:hideMark/>
          </w:tcPr>
          <w:p w:rsidR="004662E1" w:rsidRPr="007E01C5" w:rsidRDefault="004662E1" w:rsidP="009A5F28">
            <w:pPr>
              <w:jc w:val="both"/>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Gestión de la Alta Calidad de la Educación</w:t>
            </w:r>
          </w:p>
        </w:tc>
        <w:tc>
          <w:tcPr>
            <w:tcW w:w="1685" w:type="dxa"/>
            <w:tcBorders>
              <w:top w:val="nil"/>
              <w:left w:val="single" w:sz="4" w:space="0" w:color="auto"/>
              <w:bottom w:val="single" w:sz="4" w:space="0" w:color="auto"/>
              <w:right w:val="single" w:sz="4" w:space="0" w:color="auto"/>
            </w:tcBorders>
            <w:shd w:val="clear" w:color="auto" w:fill="auto"/>
            <w:vAlign w:val="center"/>
            <w:hideMark/>
          </w:tcPr>
          <w:p w:rsidR="004662E1" w:rsidRPr="007E01C5" w:rsidRDefault="004662E1" w:rsidP="009A5F28">
            <w:pP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 xml:space="preserve"> $           10.211 </w:t>
            </w:r>
          </w:p>
        </w:tc>
        <w:tc>
          <w:tcPr>
            <w:tcW w:w="1827" w:type="dxa"/>
            <w:tcBorders>
              <w:top w:val="nil"/>
              <w:left w:val="nil"/>
              <w:bottom w:val="single" w:sz="4" w:space="0" w:color="auto"/>
              <w:right w:val="single" w:sz="8"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13%</w:t>
            </w:r>
          </w:p>
        </w:tc>
      </w:tr>
      <w:tr w:rsidR="004662E1" w:rsidRPr="007E01C5" w:rsidTr="006B5E9A">
        <w:trPr>
          <w:trHeight w:val="420"/>
        </w:trPr>
        <w:tc>
          <w:tcPr>
            <w:tcW w:w="1113" w:type="dxa"/>
            <w:tcBorders>
              <w:top w:val="nil"/>
              <w:left w:val="single" w:sz="8" w:space="0" w:color="auto"/>
              <w:bottom w:val="single" w:sz="4" w:space="0" w:color="auto"/>
              <w:right w:val="single" w:sz="4"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Pilar 2</w:t>
            </w:r>
          </w:p>
        </w:tc>
        <w:tc>
          <w:tcPr>
            <w:tcW w:w="4218" w:type="dxa"/>
            <w:tcBorders>
              <w:top w:val="nil"/>
              <w:left w:val="nil"/>
              <w:bottom w:val="single" w:sz="4" w:space="0" w:color="auto"/>
              <w:right w:val="single" w:sz="4" w:space="0" w:color="auto"/>
            </w:tcBorders>
            <w:shd w:val="clear" w:color="auto" w:fill="auto"/>
            <w:vAlign w:val="center"/>
            <w:hideMark/>
          </w:tcPr>
          <w:p w:rsidR="004662E1" w:rsidRPr="007E01C5" w:rsidRDefault="004662E1" w:rsidP="009A5F28">
            <w:pPr>
              <w:jc w:val="both"/>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Fomento a la Investigación</w:t>
            </w:r>
          </w:p>
        </w:tc>
        <w:tc>
          <w:tcPr>
            <w:tcW w:w="1685" w:type="dxa"/>
            <w:tcBorders>
              <w:top w:val="nil"/>
              <w:left w:val="single" w:sz="4" w:space="0" w:color="auto"/>
              <w:bottom w:val="single" w:sz="4" w:space="0" w:color="auto"/>
              <w:right w:val="single" w:sz="4" w:space="0" w:color="auto"/>
            </w:tcBorders>
            <w:shd w:val="clear" w:color="auto" w:fill="auto"/>
            <w:vAlign w:val="center"/>
            <w:hideMark/>
          </w:tcPr>
          <w:p w:rsidR="004662E1" w:rsidRPr="007E01C5" w:rsidRDefault="004662E1" w:rsidP="009A5F28">
            <w:pP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 xml:space="preserve"> $           18.984 </w:t>
            </w:r>
          </w:p>
        </w:tc>
        <w:tc>
          <w:tcPr>
            <w:tcW w:w="1827" w:type="dxa"/>
            <w:tcBorders>
              <w:top w:val="nil"/>
              <w:left w:val="nil"/>
              <w:bottom w:val="single" w:sz="4" w:space="0" w:color="auto"/>
              <w:right w:val="single" w:sz="8"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25%</w:t>
            </w:r>
          </w:p>
        </w:tc>
      </w:tr>
      <w:tr w:rsidR="004662E1" w:rsidRPr="007E01C5" w:rsidTr="006B5E9A">
        <w:trPr>
          <w:trHeight w:val="402"/>
        </w:trPr>
        <w:tc>
          <w:tcPr>
            <w:tcW w:w="1113" w:type="dxa"/>
            <w:tcBorders>
              <w:top w:val="nil"/>
              <w:left w:val="single" w:sz="8" w:space="0" w:color="auto"/>
              <w:bottom w:val="single" w:sz="4" w:space="0" w:color="auto"/>
              <w:right w:val="single" w:sz="4"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Pilar 3</w:t>
            </w:r>
          </w:p>
        </w:tc>
        <w:tc>
          <w:tcPr>
            <w:tcW w:w="4218" w:type="dxa"/>
            <w:tcBorders>
              <w:top w:val="nil"/>
              <w:left w:val="nil"/>
              <w:bottom w:val="single" w:sz="4" w:space="0" w:color="auto"/>
              <w:right w:val="single" w:sz="4" w:space="0" w:color="auto"/>
            </w:tcBorders>
            <w:shd w:val="clear" w:color="auto" w:fill="auto"/>
            <w:vAlign w:val="center"/>
            <w:hideMark/>
          </w:tcPr>
          <w:p w:rsidR="004662E1" w:rsidRPr="007E01C5" w:rsidRDefault="004662E1" w:rsidP="009A5F28">
            <w:pPr>
              <w:jc w:val="both"/>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Extensión y Relaciones con el Medio</w:t>
            </w:r>
          </w:p>
        </w:tc>
        <w:tc>
          <w:tcPr>
            <w:tcW w:w="1685" w:type="dxa"/>
            <w:tcBorders>
              <w:top w:val="nil"/>
              <w:left w:val="single" w:sz="4" w:space="0" w:color="auto"/>
              <w:bottom w:val="single" w:sz="4" w:space="0" w:color="auto"/>
              <w:right w:val="single" w:sz="4" w:space="0" w:color="auto"/>
            </w:tcBorders>
            <w:shd w:val="clear" w:color="auto" w:fill="auto"/>
            <w:vAlign w:val="center"/>
            <w:hideMark/>
          </w:tcPr>
          <w:p w:rsidR="004662E1" w:rsidRPr="007E01C5" w:rsidRDefault="004662E1" w:rsidP="009A5F28">
            <w:pP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 xml:space="preserve"> $                588 </w:t>
            </w:r>
          </w:p>
        </w:tc>
        <w:tc>
          <w:tcPr>
            <w:tcW w:w="1827" w:type="dxa"/>
            <w:tcBorders>
              <w:top w:val="nil"/>
              <w:left w:val="nil"/>
              <w:bottom w:val="single" w:sz="4" w:space="0" w:color="auto"/>
              <w:right w:val="single" w:sz="8"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1%</w:t>
            </w:r>
          </w:p>
        </w:tc>
      </w:tr>
      <w:tr w:rsidR="004662E1" w:rsidRPr="007E01C5" w:rsidTr="006B5E9A">
        <w:trPr>
          <w:trHeight w:val="420"/>
        </w:trPr>
        <w:tc>
          <w:tcPr>
            <w:tcW w:w="1113" w:type="dxa"/>
            <w:tcBorders>
              <w:top w:val="nil"/>
              <w:left w:val="single" w:sz="8" w:space="0" w:color="auto"/>
              <w:bottom w:val="single" w:sz="4" w:space="0" w:color="auto"/>
              <w:right w:val="single" w:sz="4"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Pilar 4</w:t>
            </w:r>
          </w:p>
        </w:tc>
        <w:tc>
          <w:tcPr>
            <w:tcW w:w="4218" w:type="dxa"/>
            <w:tcBorders>
              <w:top w:val="nil"/>
              <w:left w:val="nil"/>
              <w:bottom w:val="single" w:sz="4" w:space="0" w:color="auto"/>
              <w:right w:val="single" w:sz="4" w:space="0" w:color="auto"/>
            </w:tcBorders>
            <w:shd w:val="clear" w:color="auto" w:fill="auto"/>
            <w:vAlign w:val="center"/>
            <w:hideMark/>
          </w:tcPr>
          <w:p w:rsidR="004662E1" w:rsidRPr="007E01C5" w:rsidRDefault="004662E1" w:rsidP="009A5F28">
            <w:pPr>
              <w:jc w:val="both"/>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Internacionalización</w:t>
            </w:r>
          </w:p>
        </w:tc>
        <w:tc>
          <w:tcPr>
            <w:tcW w:w="1685" w:type="dxa"/>
            <w:tcBorders>
              <w:top w:val="nil"/>
              <w:left w:val="single" w:sz="4" w:space="0" w:color="auto"/>
              <w:bottom w:val="single" w:sz="4" w:space="0" w:color="auto"/>
              <w:right w:val="single" w:sz="4" w:space="0" w:color="auto"/>
            </w:tcBorders>
            <w:shd w:val="clear" w:color="auto" w:fill="auto"/>
            <w:vAlign w:val="center"/>
            <w:hideMark/>
          </w:tcPr>
          <w:p w:rsidR="004662E1" w:rsidRPr="007E01C5" w:rsidRDefault="004662E1" w:rsidP="009A5F28">
            <w:pP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 xml:space="preserve"> $                562 </w:t>
            </w:r>
          </w:p>
        </w:tc>
        <w:tc>
          <w:tcPr>
            <w:tcW w:w="1827" w:type="dxa"/>
            <w:tcBorders>
              <w:top w:val="nil"/>
              <w:left w:val="nil"/>
              <w:bottom w:val="single" w:sz="4" w:space="0" w:color="auto"/>
              <w:right w:val="single" w:sz="8"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1%</w:t>
            </w:r>
          </w:p>
        </w:tc>
      </w:tr>
      <w:tr w:rsidR="004662E1" w:rsidRPr="007E01C5" w:rsidTr="006B5E9A">
        <w:trPr>
          <w:trHeight w:val="420"/>
        </w:trPr>
        <w:tc>
          <w:tcPr>
            <w:tcW w:w="1113" w:type="dxa"/>
            <w:tcBorders>
              <w:top w:val="nil"/>
              <w:left w:val="single" w:sz="8" w:space="0" w:color="auto"/>
              <w:bottom w:val="single" w:sz="4" w:space="0" w:color="auto"/>
              <w:right w:val="single" w:sz="4"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Pilar 5</w:t>
            </w:r>
          </w:p>
        </w:tc>
        <w:tc>
          <w:tcPr>
            <w:tcW w:w="4218" w:type="dxa"/>
            <w:tcBorders>
              <w:top w:val="nil"/>
              <w:left w:val="nil"/>
              <w:bottom w:val="single" w:sz="4" w:space="0" w:color="auto"/>
              <w:right w:val="single" w:sz="4" w:space="0" w:color="auto"/>
            </w:tcBorders>
            <w:shd w:val="clear" w:color="auto" w:fill="auto"/>
            <w:noWrap/>
            <w:vAlign w:val="center"/>
            <w:hideMark/>
          </w:tcPr>
          <w:p w:rsidR="004662E1" w:rsidRPr="007E01C5" w:rsidRDefault="004662E1" w:rsidP="009A5F28">
            <w:pPr>
              <w:jc w:val="both"/>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 xml:space="preserve">Bienestar </w:t>
            </w:r>
            <w:proofErr w:type="spellStart"/>
            <w:r w:rsidRPr="007E01C5">
              <w:rPr>
                <w:rFonts w:ascii="Arial Narrow" w:eastAsia="Times New Roman" w:hAnsi="Arial Narrow"/>
                <w:color w:val="000000"/>
                <w:sz w:val="26"/>
                <w:szCs w:val="26"/>
                <w:lang w:eastAsia="es-CO"/>
              </w:rPr>
              <w:t>Uniquindiano</w:t>
            </w:r>
            <w:proofErr w:type="spellEnd"/>
          </w:p>
        </w:tc>
        <w:tc>
          <w:tcPr>
            <w:tcW w:w="1685" w:type="dxa"/>
            <w:tcBorders>
              <w:top w:val="nil"/>
              <w:left w:val="single" w:sz="4" w:space="0" w:color="auto"/>
              <w:bottom w:val="single" w:sz="4" w:space="0" w:color="auto"/>
              <w:right w:val="single" w:sz="4" w:space="0" w:color="auto"/>
            </w:tcBorders>
            <w:shd w:val="clear" w:color="auto" w:fill="auto"/>
            <w:vAlign w:val="center"/>
            <w:hideMark/>
          </w:tcPr>
          <w:p w:rsidR="004662E1" w:rsidRPr="007E01C5" w:rsidRDefault="004662E1" w:rsidP="009A5F28">
            <w:pP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 xml:space="preserve"> $           12.213 </w:t>
            </w:r>
          </w:p>
        </w:tc>
        <w:tc>
          <w:tcPr>
            <w:tcW w:w="1827" w:type="dxa"/>
            <w:tcBorders>
              <w:top w:val="nil"/>
              <w:left w:val="nil"/>
              <w:bottom w:val="single" w:sz="4" w:space="0" w:color="auto"/>
              <w:right w:val="single" w:sz="8"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16%</w:t>
            </w:r>
          </w:p>
        </w:tc>
      </w:tr>
      <w:tr w:rsidR="004662E1" w:rsidRPr="007E01C5" w:rsidTr="006B5E9A">
        <w:trPr>
          <w:trHeight w:val="420"/>
        </w:trPr>
        <w:tc>
          <w:tcPr>
            <w:tcW w:w="1113" w:type="dxa"/>
            <w:tcBorders>
              <w:top w:val="nil"/>
              <w:left w:val="single" w:sz="8" w:space="0" w:color="auto"/>
              <w:bottom w:val="single" w:sz="4" w:space="0" w:color="auto"/>
              <w:right w:val="single" w:sz="4"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Pilar 6</w:t>
            </w:r>
          </w:p>
        </w:tc>
        <w:tc>
          <w:tcPr>
            <w:tcW w:w="4218" w:type="dxa"/>
            <w:tcBorders>
              <w:top w:val="nil"/>
              <w:left w:val="nil"/>
              <w:bottom w:val="single" w:sz="4" w:space="0" w:color="auto"/>
              <w:right w:val="single" w:sz="4" w:space="0" w:color="auto"/>
            </w:tcBorders>
            <w:shd w:val="clear" w:color="auto" w:fill="auto"/>
            <w:noWrap/>
            <w:vAlign w:val="center"/>
            <w:hideMark/>
          </w:tcPr>
          <w:p w:rsidR="004662E1" w:rsidRPr="007E01C5" w:rsidRDefault="004662E1" w:rsidP="009A5F28">
            <w:pPr>
              <w:jc w:val="both"/>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Gestión y Desarrollo Institucional</w:t>
            </w:r>
          </w:p>
        </w:tc>
        <w:tc>
          <w:tcPr>
            <w:tcW w:w="1685" w:type="dxa"/>
            <w:tcBorders>
              <w:top w:val="nil"/>
              <w:left w:val="single" w:sz="4" w:space="0" w:color="auto"/>
              <w:bottom w:val="single" w:sz="4" w:space="0" w:color="auto"/>
              <w:right w:val="single" w:sz="4" w:space="0" w:color="auto"/>
            </w:tcBorders>
            <w:shd w:val="clear" w:color="auto" w:fill="auto"/>
            <w:vAlign w:val="center"/>
            <w:hideMark/>
          </w:tcPr>
          <w:p w:rsidR="004662E1" w:rsidRPr="007E01C5" w:rsidRDefault="004662E1" w:rsidP="009A5F28">
            <w:pP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 xml:space="preserve"> $             1.141 </w:t>
            </w:r>
          </w:p>
        </w:tc>
        <w:tc>
          <w:tcPr>
            <w:tcW w:w="1827" w:type="dxa"/>
            <w:tcBorders>
              <w:top w:val="nil"/>
              <w:left w:val="nil"/>
              <w:bottom w:val="single" w:sz="4" w:space="0" w:color="auto"/>
              <w:right w:val="single" w:sz="8"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1%</w:t>
            </w:r>
          </w:p>
        </w:tc>
      </w:tr>
      <w:tr w:rsidR="004662E1" w:rsidRPr="007E01C5" w:rsidTr="006B5E9A">
        <w:trPr>
          <w:trHeight w:val="420"/>
        </w:trPr>
        <w:tc>
          <w:tcPr>
            <w:tcW w:w="1113" w:type="dxa"/>
            <w:tcBorders>
              <w:top w:val="nil"/>
              <w:left w:val="single" w:sz="8" w:space="0" w:color="auto"/>
              <w:bottom w:val="single" w:sz="4" w:space="0" w:color="auto"/>
              <w:right w:val="single" w:sz="4"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Pilar 7</w:t>
            </w:r>
          </w:p>
        </w:tc>
        <w:tc>
          <w:tcPr>
            <w:tcW w:w="4218" w:type="dxa"/>
            <w:tcBorders>
              <w:top w:val="nil"/>
              <w:left w:val="nil"/>
              <w:bottom w:val="single" w:sz="4" w:space="0" w:color="auto"/>
              <w:right w:val="single" w:sz="4" w:space="0" w:color="auto"/>
            </w:tcBorders>
            <w:shd w:val="clear" w:color="auto" w:fill="auto"/>
            <w:noWrap/>
            <w:vAlign w:val="center"/>
            <w:hideMark/>
          </w:tcPr>
          <w:p w:rsidR="004662E1" w:rsidRPr="007E01C5" w:rsidRDefault="004662E1" w:rsidP="009A5F28">
            <w:pPr>
              <w:jc w:val="both"/>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Desarrollo Tecnológico</w:t>
            </w:r>
          </w:p>
        </w:tc>
        <w:tc>
          <w:tcPr>
            <w:tcW w:w="1685" w:type="dxa"/>
            <w:tcBorders>
              <w:top w:val="nil"/>
              <w:left w:val="single" w:sz="4" w:space="0" w:color="auto"/>
              <w:bottom w:val="single" w:sz="4" w:space="0" w:color="auto"/>
              <w:right w:val="single" w:sz="4" w:space="0" w:color="auto"/>
            </w:tcBorders>
            <w:shd w:val="clear" w:color="auto" w:fill="auto"/>
            <w:vAlign w:val="center"/>
            <w:hideMark/>
          </w:tcPr>
          <w:p w:rsidR="004662E1" w:rsidRPr="007E01C5" w:rsidRDefault="004662E1" w:rsidP="009A5F28">
            <w:pP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 xml:space="preserve"> $             7.425 </w:t>
            </w:r>
          </w:p>
        </w:tc>
        <w:tc>
          <w:tcPr>
            <w:tcW w:w="1827" w:type="dxa"/>
            <w:tcBorders>
              <w:top w:val="nil"/>
              <w:left w:val="nil"/>
              <w:bottom w:val="single" w:sz="4" w:space="0" w:color="auto"/>
              <w:right w:val="single" w:sz="8"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10%</w:t>
            </w:r>
          </w:p>
        </w:tc>
      </w:tr>
      <w:tr w:rsidR="004662E1" w:rsidRPr="007E01C5" w:rsidTr="006B5E9A">
        <w:trPr>
          <w:trHeight w:val="420"/>
        </w:trPr>
        <w:tc>
          <w:tcPr>
            <w:tcW w:w="1113" w:type="dxa"/>
            <w:tcBorders>
              <w:top w:val="nil"/>
              <w:left w:val="single" w:sz="8" w:space="0" w:color="auto"/>
              <w:bottom w:val="nil"/>
              <w:right w:val="single" w:sz="4"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Pilar 8</w:t>
            </w:r>
          </w:p>
        </w:tc>
        <w:tc>
          <w:tcPr>
            <w:tcW w:w="4218" w:type="dxa"/>
            <w:tcBorders>
              <w:top w:val="nil"/>
              <w:left w:val="nil"/>
              <w:bottom w:val="nil"/>
              <w:right w:val="single" w:sz="4" w:space="0" w:color="auto"/>
            </w:tcBorders>
            <w:shd w:val="clear" w:color="auto" w:fill="auto"/>
            <w:noWrap/>
            <w:vAlign w:val="center"/>
            <w:hideMark/>
          </w:tcPr>
          <w:p w:rsidR="004662E1" w:rsidRPr="007E01C5" w:rsidRDefault="004662E1" w:rsidP="009A5F28">
            <w:pPr>
              <w:jc w:val="both"/>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Infraestructura Física y Dotación</w:t>
            </w:r>
          </w:p>
        </w:tc>
        <w:tc>
          <w:tcPr>
            <w:tcW w:w="1685" w:type="dxa"/>
            <w:tcBorders>
              <w:top w:val="nil"/>
              <w:left w:val="single" w:sz="4" w:space="0" w:color="auto"/>
              <w:bottom w:val="single" w:sz="4" w:space="0" w:color="auto"/>
              <w:right w:val="single" w:sz="4" w:space="0" w:color="auto"/>
            </w:tcBorders>
            <w:shd w:val="clear" w:color="auto" w:fill="auto"/>
            <w:vAlign w:val="center"/>
            <w:hideMark/>
          </w:tcPr>
          <w:p w:rsidR="004662E1" w:rsidRPr="007E01C5" w:rsidRDefault="004662E1" w:rsidP="009A5F28">
            <w:pP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 xml:space="preserve"> $           25.708 </w:t>
            </w:r>
          </w:p>
        </w:tc>
        <w:tc>
          <w:tcPr>
            <w:tcW w:w="1827" w:type="dxa"/>
            <w:tcBorders>
              <w:top w:val="nil"/>
              <w:left w:val="nil"/>
              <w:bottom w:val="single" w:sz="4" w:space="0" w:color="auto"/>
              <w:right w:val="single" w:sz="8" w:space="0" w:color="auto"/>
            </w:tcBorders>
            <w:shd w:val="clear" w:color="auto" w:fill="auto"/>
            <w:noWrap/>
            <w:vAlign w:val="center"/>
            <w:hideMark/>
          </w:tcPr>
          <w:p w:rsidR="004662E1" w:rsidRPr="007E01C5" w:rsidRDefault="004662E1" w:rsidP="009A5F28">
            <w:pPr>
              <w:jc w:val="center"/>
              <w:rPr>
                <w:rFonts w:ascii="Arial Narrow" w:eastAsia="Times New Roman" w:hAnsi="Arial Narrow"/>
                <w:color w:val="000000"/>
                <w:sz w:val="26"/>
                <w:szCs w:val="26"/>
                <w:lang w:eastAsia="es-CO"/>
              </w:rPr>
            </w:pPr>
            <w:r w:rsidRPr="007E01C5">
              <w:rPr>
                <w:rFonts w:ascii="Arial Narrow" w:eastAsia="Times New Roman" w:hAnsi="Arial Narrow"/>
                <w:color w:val="000000"/>
                <w:sz w:val="26"/>
                <w:szCs w:val="26"/>
                <w:lang w:eastAsia="es-CO"/>
              </w:rPr>
              <w:t>33%</w:t>
            </w:r>
          </w:p>
        </w:tc>
      </w:tr>
      <w:tr w:rsidR="004662E1" w:rsidRPr="007E01C5" w:rsidTr="009A5F28">
        <w:trPr>
          <w:trHeight w:val="505"/>
        </w:trPr>
        <w:tc>
          <w:tcPr>
            <w:tcW w:w="5331" w:type="dxa"/>
            <w:gridSpan w:val="2"/>
            <w:tcBorders>
              <w:top w:val="single" w:sz="8" w:space="0" w:color="auto"/>
              <w:left w:val="single" w:sz="8" w:space="0" w:color="auto"/>
              <w:bottom w:val="single" w:sz="8" w:space="0" w:color="auto"/>
              <w:right w:val="single" w:sz="4" w:space="0" w:color="auto"/>
            </w:tcBorders>
            <w:shd w:val="clear" w:color="000000" w:fill="E2EFDA"/>
            <w:noWrap/>
            <w:vAlign w:val="center"/>
            <w:hideMark/>
          </w:tcPr>
          <w:p w:rsidR="004662E1" w:rsidRPr="007E01C5" w:rsidRDefault="004662E1" w:rsidP="009A5F28">
            <w:pPr>
              <w:jc w:val="center"/>
              <w:rPr>
                <w:rFonts w:ascii="Arial Narrow" w:eastAsia="Times New Roman" w:hAnsi="Arial Narrow"/>
                <w:b/>
                <w:bCs/>
                <w:color w:val="000000"/>
                <w:sz w:val="26"/>
                <w:szCs w:val="26"/>
                <w:lang w:eastAsia="es-CO"/>
              </w:rPr>
            </w:pPr>
            <w:r w:rsidRPr="007E01C5">
              <w:rPr>
                <w:rFonts w:ascii="Arial Narrow" w:eastAsia="Times New Roman" w:hAnsi="Arial Narrow"/>
                <w:b/>
                <w:bCs/>
                <w:color w:val="000000"/>
                <w:sz w:val="26"/>
                <w:szCs w:val="26"/>
                <w:lang w:eastAsia="es-CO"/>
              </w:rPr>
              <w:t xml:space="preserve">TOTAL </w:t>
            </w:r>
          </w:p>
        </w:tc>
        <w:tc>
          <w:tcPr>
            <w:tcW w:w="1685" w:type="dxa"/>
            <w:tcBorders>
              <w:top w:val="single" w:sz="8" w:space="0" w:color="auto"/>
              <w:left w:val="single" w:sz="4" w:space="0" w:color="auto"/>
              <w:bottom w:val="single" w:sz="8" w:space="0" w:color="auto"/>
              <w:right w:val="single" w:sz="4" w:space="0" w:color="auto"/>
            </w:tcBorders>
            <w:shd w:val="clear" w:color="000000" w:fill="E2EFDA"/>
            <w:noWrap/>
            <w:vAlign w:val="center"/>
            <w:hideMark/>
          </w:tcPr>
          <w:p w:rsidR="004662E1" w:rsidRPr="007E01C5" w:rsidRDefault="004662E1" w:rsidP="009A5F28">
            <w:pPr>
              <w:rPr>
                <w:rFonts w:ascii="Arial Narrow" w:eastAsia="Times New Roman" w:hAnsi="Arial Narrow"/>
                <w:b/>
                <w:bCs/>
                <w:color w:val="000000"/>
                <w:sz w:val="26"/>
                <w:szCs w:val="26"/>
                <w:lang w:eastAsia="es-CO"/>
              </w:rPr>
            </w:pPr>
            <w:r w:rsidRPr="007E01C5">
              <w:rPr>
                <w:rFonts w:ascii="Arial Narrow" w:eastAsia="Times New Roman" w:hAnsi="Arial Narrow"/>
                <w:b/>
                <w:bCs/>
                <w:color w:val="000000"/>
                <w:sz w:val="26"/>
                <w:szCs w:val="26"/>
                <w:lang w:eastAsia="es-CO"/>
              </w:rPr>
              <w:t xml:space="preserve"> $           76.831 </w:t>
            </w:r>
          </w:p>
        </w:tc>
        <w:tc>
          <w:tcPr>
            <w:tcW w:w="1827" w:type="dxa"/>
            <w:tcBorders>
              <w:top w:val="single" w:sz="8" w:space="0" w:color="auto"/>
              <w:left w:val="nil"/>
              <w:bottom w:val="single" w:sz="8" w:space="0" w:color="auto"/>
              <w:right w:val="single" w:sz="8" w:space="0" w:color="auto"/>
            </w:tcBorders>
            <w:shd w:val="clear" w:color="000000" w:fill="E2EFDA"/>
            <w:noWrap/>
            <w:vAlign w:val="center"/>
            <w:hideMark/>
          </w:tcPr>
          <w:p w:rsidR="004662E1" w:rsidRPr="007E01C5" w:rsidRDefault="004662E1" w:rsidP="009A5F28">
            <w:pPr>
              <w:jc w:val="center"/>
              <w:rPr>
                <w:rFonts w:ascii="Arial Narrow" w:eastAsia="Times New Roman" w:hAnsi="Arial Narrow"/>
                <w:b/>
                <w:bCs/>
                <w:color w:val="000000"/>
                <w:sz w:val="26"/>
                <w:szCs w:val="26"/>
                <w:lang w:eastAsia="es-CO"/>
              </w:rPr>
            </w:pPr>
            <w:r w:rsidRPr="007E01C5">
              <w:rPr>
                <w:rFonts w:ascii="Arial Narrow" w:eastAsia="Times New Roman" w:hAnsi="Arial Narrow"/>
                <w:b/>
                <w:bCs/>
                <w:color w:val="000000"/>
                <w:sz w:val="26"/>
                <w:szCs w:val="26"/>
                <w:lang w:eastAsia="es-CO"/>
              </w:rPr>
              <w:t>100%</w:t>
            </w:r>
          </w:p>
        </w:tc>
      </w:tr>
    </w:tbl>
    <w:p w:rsidR="004662E1" w:rsidRDefault="004662E1"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6B5E9A" w:rsidRDefault="006B5E9A">
      <w:pPr>
        <w:rPr>
          <w:rFonts w:ascii="Arial" w:eastAsia="Times New Roman" w:hAnsi="Arial" w:cs="Arial"/>
          <w:i/>
          <w:sz w:val="20"/>
          <w:szCs w:val="20"/>
          <w:lang w:bidi="en-US"/>
        </w:rPr>
      </w:pPr>
      <w:r>
        <w:rPr>
          <w:rFonts w:ascii="Arial" w:eastAsia="Times New Roman" w:hAnsi="Arial" w:cs="Arial"/>
          <w:i/>
          <w:sz w:val="20"/>
          <w:szCs w:val="20"/>
          <w:lang w:bidi="en-US"/>
        </w:rPr>
        <w:br w:type="page"/>
      </w:r>
    </w:p>
    <w:p w:rsidR="004662E1" w:rsidRDefault="004662E1" w:rsidP="004662E1">
      <w:pPr>
        <w:jc w:val="center"/>
        <w:rPr>
          <w:rFonts w:ascii="Arial" w:eastAsia="Times New Roman" w:hAnsi="Arial" w:cs="Arial"/>
          <w:i/>
          <w:sz w:val="20"/>
          <w:szCs w:val="20"/>
          <w:lang w:bidi="en-US"/>
        </w:rPr>
      </w:pPr>
    </w:p>
    <w:p w:rsidR="004662E1" w:rsidRPr="007E01C5" w:rsidRDefault="004662E1" w:rsidP="004662E1">
      <w:pPr>
        <w:jc w:val="center"/>
        <w:rPr>
          <w:rFonts w:ascii="Arial" w:eastAsia="Times New Roman" w:hAnsi="Arial" w:cs="Arial"/>
          <w:i/>
          <w:sz w:val="20"/>
          <w:szCs w:val="20"/>
          <w:lang w:bidi="en-US"/>
        </w:rPr>
      </w:pPr>
      <w:bookmarkStart w:id="9" w:name="_Toc438487358"/>
      <w:r w:rsidRPr="007E01C5">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4</w:t>
      </w:r>
      <w:r w:rsidRPr="007E01C5">
        <w:rPr>
          <w:rFonts w:ascii="Arial" w:eastAsia="Times New Roman" w:hAnsi="Arial" w:cs="Arial"/>
          <w:i/>
          <w:sz w:val="20"/>
          <w:szCs w:val="20"/>
          <w:lang w:bidi="en-US"/>
        </w:rPr>
        <w:t xml:space="preserve"> – Consolidado Porcentual Inversión 2008 - 2015 - (Corte 07 Diciembre de 2015)</w:t>
      </w:r>
      <w:bookmarkEnd w:id="9"/>
    </w:p>
    <w:p w:rsidR="004662E1" w:rsidRPr="007E01C5" w:rsidRDefault="004662E1" w:rsidP="004662E1">
      <w:pPr>
        <w:spacing w:line="276" w:lineRule="auto"/>
        <w:jc w:val="both"/>
        <w:rPr>
          <w:rFonts w:ascii="Arial" w:eastAsia="Times New Roman" w:hAnsi="Arial" w:cs="Arial"/>
          <w:sz w:val="24"/>
          <w:szCs w:val="24"/>
          <w:lang w:bidi="en-US"/>
        </w:rPr>
      </w:pPr>
    </w:p>
    <w:p w:rsidR="004662E1" w:rsidRPr="007E01C5" w:rsidRDefault="004662E1" w:rsidP="004662E1">
      <w:pPr>
        <w:jc w:val="center"/>
        <w:rPr>
          <w:rFonts w:eastAsia="Times New Roman"/>
          <w:sz w:val="20"/>
          <w:szCs w:val="20"/>
          <w:lang w:bidi="en-US"/>
        </w:rPr>
      </w:pPr>
      <w:r w:rsidRPr="007E01C5">
        <w:rPr>
          <w:rFonts w:eastAsia="Times New Roman"/>
          <w:noProof/>
          <w:sz w:val="20"/>
          <w:szCs w:val="20"/>
          <w:lang w:eastAsia="es-CO"/>
        </w:rPr>
        <w:drawing>
          <wp:inline distT="0" distB="0" distL="0" distR="0" wp14:anchorId="2A50613E" wp14:editId="68AF4B68">
            <wp:extent cx="5127625" cy="3485515"/>
            <wp:effectExtent l="0" t="0" r="15875" b="635"/>
            <wp:docPr id="23" name="Gráfico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B5E9A" w:rsidRDefault="006B5E9A"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Default="004662E1" w:rsidP="004662E1">
      <w:pPr>
        <w:spacing w:line="276" w:lineRule="auto"/>
        <w:jc w:val="both"/>
        <w:rPr>
          <w:rFonts w:ascii="Arial" w:eastAsia="Times New Roman" w:hAnsi="Arial" w:cs="Arial"/>
          <w:sz w:val="24"/>
          <w:szCs w:val="24"/>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C86572">
        <w:rPr>
          <w:rFonts w:ascii="Arial" w:eastAsia="Times New Roman" w:hAnsi="Arial" w:cs="Arial"/>
          <w:sz w:val="24"/>
          <w:szCs w:val="24"/>
          <w:lang w:bidi="en-US"/>
        </w:rPr>
        <w:t xml:space="preserve">Como se puede observar en la </w:t>
      </w:r>
      <w:r w:rsidRPr="007E01C5">
        <w:rPr>
          <w:rFonts w:ascii="Arial" w:eastAsia="Times New Roman" w:hAnsi="Arial" w:cs="Arial"/>
          <w:sz w:val="24"/>
          <w:szCs w:val="24"/>
          <w:lang w:bidi="en-US"/>
        </w:rPr>
        <w:t>gráfica anterior, la mayor concentración de la inversión la tenemos en el Pilar 8 “Infraestructura Física y Dotación” con una inversión de $25.708 Millones, donde se destacan las inversiones para obras tales como: El Edificio de Aulas 50 Años, el Edificio para Bienestar Institucional, el Auditorio Jardín Botánico, las Zonas de Estudio de las Facultades de Ingeniería, Ciencias Económicas y Administrativas, Ciencias de la</w:t>
      </w:r>
      <w:r>
        <w:rPr>
          <w:rFonts w:ascii="Arial" w:eastAsia="Times New Roman" w:hAnsi="Arial" w:cs="Arial"/>
          <w:sz w:val="24"/>
          <w:szCs w:val="24"/>
          <w:lang w:bidi="en-US"/>
        </w:rPr>
        <w:t xml:space="preserve"> Salud; la Media Torta Cultural, ampliación y remodelación del Restaurante Universitario, adecuación del cerramiento de CEPAS y Biblioteca infantil,</w:t>
      </w:r>
      <w:r w:rsidRPr="007E01C5">
        <w:rPr>
          <w:rFonts w:ascii="Arial" w:eastAsia="Times New Roman" w:hAnsi="Arial" w:cs="Arial"/>
          <w:sz w:val="24"/>
          <w:szCs w:val="24"/>
          <w:lang w:bidi="en-US"/>
        </w:rPr>
        <w:t xml:space="preserve"> actualización de redes de infraestructura eléctrica en diferentes dependencias del campus, los cerramientos perimetrales, la Portería de Acceso Principal, la Portería de los escenarios deportivos, la Portería No. 4 de acceso peatonal y vehicular; las adecuaciones y mejoras en los Escenarios Deportivos, adecuaciones en las plazoletas del Área Administrativa, adecuaciones y remodelación del acceso al Auditorio de Ciencias Básicas y Ciencias Humanas,  la podemos resumir en las siguientes cifras, Baterías Sanitarias, Centro de Acopio de residuos químicos peligrosos y residuos ordinarios; la pavimentación de la Vía a la Aldana, la pavimentación y señalización de varios los Parqueaderos del campus, y adecuaciones en vías, andenes y demás obras de urbanismo; adecuación de edificaciones para permitir el acceso de personas con movilidad reducida, mediante </w:t>
      </w:r>
      <w:r w:rsidRPr="007E01C5">
        <w:rPr>
          <w:rFonts w:ascii="Arial" w:eastAsia="Times New Roman" w:hAnsi="Arial" w:cs="Arial"/>
          <w:sz w:val="24"/>
          <w:szCs w:val="24"/>
          <w:lang w:bidi="en-US"/>
        </w:rPr>
        <w:lastRenderedPageBreak/>
        <w:t xml:space="preserve">sillas triales, rampas de acceso y baterías sanitarias; adecuaciones y cerramiento del relicto boscoso “Cedro Rosado”, modernización y adecuación de Baterías Sanitarias en las Facultades de Ingeniería, Ciencias Económicas y Administrativas, Ciencias Básicas y Humanas; Cambio de Cubierta del Auditorio Euclides Jaramillo Arango; adecuación de Salas de Profesores en las Facultades de Ingeniería, Ciencias Económicas y Administrativas y Ciencias de la Salud; mantenimiento preventivo y correctivo de las diferentes edificaciones de la Universidad, incluidos Granja Bengala y Centros Tutoriales; adecuaciones locativas en diferentes dependencias dentro de las que se destacan las del Centro de Salud, Laboratorio de Biomédicas, </w:t>
      </w:r>
      <w:proofErr w:type="spellStart"/>
      <w:r w:rsidRPr="007E01C5">
        <w:rPr>
          <w:rFonts w:ascii="Arial" w:eastAsia="Times New Roman" w:hAnsi="Arial" w:cs="Arial"/>
          <w:sz w:val="24"/>
          <w:szCs w:val="24"/>
          <w:lang w:bidi="en-US"/>
        </w:rPr>
        <w:t>Optoeléctrónica</w:t>
      </w:r>
      <w:proofErr w:type="spellEnd"/>
      <w:r w:rsidRPr="007E01C5">
        <w:rPr>
          <w:rFonts w:ascii="Arial" w:eastAsia="Times New Roman" w:hAnsi="Arial" w:cs="Arial"/>
          <w:sz w:val="24"/>
          <w:szCs w:val="24"/>
          <w:lang w:bidi="en-US"/>
        </w:rPr>
        <w:t xml:space="preserve"> y demás laboratorios; dotación de equipos de laboratorios en general; dotación de silletería y mobiliario; dotación de equipos de apoyo a las áreas misionales; y adecuaciones para salas de maestrías y doctorados en las diferentes facultades.</w:t>
      </w:r>
    </w:p>
    <w:p w:rsidR="004662E1" w:rsidRPr="007E01C5" w:rsidRDefault="004662E1" w:rsidP="004662E1">
      <w:pPr>
        <w:spacing w:line="276" w:lineRule="auto"/>
        <w:jc w:val="both"/>
        <w:rPr>
          <w:rFonts w:ascii="Arial" w:eastAsia="Times New Roman" w:hAnsi="Arial" w:cs="Arial"/>
          <w:sz w:val="24"/>
          <w:szCs w:val="24"/>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7E01C5">
        <w:rPr>
          <w:rFonts w:ascii="Arial" w:eastAsia="Times New Roman" w:hAnsi="Arial" w:cs="Arial"/>
          <w:sz w:val="24"/>
          <w:szCs w:val="24"/>
          <w:lang w:bidi="en-US"/>
        </w:rPr>
        <w:t>El siguiente pilar que se destaca en cuanto a la concentración en la inversión histórica es el Pilar 2 “Investigación” con una inversión de $18.984</w:t>
      </w:r>
      <w:r w:rsidRPr="007E01C5">
        <w:rPr>
          <w:rFonts w:ascii="Arial Narrow" w:eastAsia="Times New Roman" w:hAnsi="Arial Narrow"/>
          <w:color w:val="000000"/>
          <w:sz w:val="26"/>
          <w:szCs w:val="26"/>
          <w:lang w:eastAsia="es-CO"/>
        </w:rPr>
        <w:t xml:space="preserve"> </w:t>
      </w:r>
      <w:r w:rsidRPr="007E01C5">
        <w:rPr>
          <w:rFonts w:ascii="Arial" w:eastAsia="Times New Roman" w:hAnsi="Arial" w:cs="Arial"/>
          <w:sz w:val="24"/>
          <w:szCs w:val="24"/>
          <w:lang w:bidi="en-US"/>
        </w:rPr>
        <w:t>Millones, donde se de</w:t>
      </w:r>
      <w:r>
        <w:rPr>
          <w:rFonts w:ascii="Arial" w:eastAsia="Times New Roman" w:hAnsi="Arial" w:cs="Arial"/>
          <w:sz w:val="24"/>
          <w:szCs w:val="24"/>
          <w:lang w:bidi="en-US"/>
        </w:rPr>
        <w:t>s</w:t>
      </w:r>
      <w:r w:rsidRPr="007E01C5">
        <w:rPr>
          <w:rFonts w:ascii="Arial" w:eastAsia="Times New Roman" w:hAnsi="Arial" w:cs="Arial"/>
          <w:sz w:val="24"/>
          <w:szCs w:val="24"/>
          <w:lang w:bidi="en-US"/>
        </w:rPr>
        <w:t>taca todo el apoyo reiterado a los grupos y centros de investigación, proyectos de investigación presentados a Colciencias, proyectos de investigación aplicada que incluyen la educación básica y media, apoyo a proyectos de jóvenes investigadores presentados ante Colciencias, entre otros.</w:t>
      </w:r>
    </w:p>
    <w:p w:rsidR="004662E1" w:rsidRPr="007E01C5" w:rsidRDefault="004662E1" w:rsidP="004662E1">
      <w:pPr>
        <w:spacing w:line="276" w:lineRule="auto"/>
        <w:jc w:val="both"/>
        <w:rPr>
          <w:rFonts w:eastAsia="Times New Roman"/>
          <w:sz w:val="20"/>
          <w:szCs w:val="20"/>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7E01C5">
        <w:rPr>
          <w:rFonts w:ascii="Arial" w:eastAsia="Times New Roman" w:hAnsi="Arial" w:cs="Arial"/>
          <w:sz w:val="24"/>
          <w:szCs w:val="24"/>
          <w:lang w:bidi="en-US"/>
        </w:rPr>
        <w:t xml:space="preserve">Otro pilar que se destaca en cuanto a la concentración en la inversión histórica es el Pilar 5 “Bienestar </w:t>
      </w:r>
      <w:proofErr w:type="spellStart"/>
      <w:r w:rsidRPr="007E01C5">
        <w:rPr>
          <w:rFonts w:ascii="Arial" w:eastAsia="Times New Roman" w:hAnsi="Arial" w:cs="Arial"/>
          <w:sz w:val="24"/>
          <w:szCs w:val="24"/>
          <w:lang w:bidi="en-US"/>
        </w:rPr>
        <w:t>Uniquindiado</w:t>
      </w:r>
      <w:proofErr w:type="spellEnd"/>
      <w:r w:rsidRPr="007E01C5">
        <w:rPr>
          <w:rFonts w:ascii="Arial" w:eastAsia="Times New Roman" w:hAnsi="Arial" w:cs="Arial"/>
          <w:sz w:val="24"/>
          <w:szCs w:val="24"/>
          <w:lang w:bidi="en-US"/>
        </w:rPr>
        <w:t>” con una inversión de $12.213</w:t>
      </w:r>
      <w:r w:rsidRPr="007E01C5">
        <w:rPr>
          <w:rFonts w:ascii="Arial Narrow" w:eastAsia="Times New Roman" w:hAnsi="Arial Narrow"/>
          <w:color w:val="000000"/>
          <w:sz w:val="26"/>
          <w:szCs w:val="26"/>
          <w:lang w:eastAsia="es-CO"/>
        </w:rPr>
        <w:t xml:space="preserve"> </w:t>
      </w:r>
      <w:r w:rsidRPr="007E01C5">
        <w:rPr>
          <w:rFonts w:ascii="Arial" w:eastAsia="Times New Roman" w:hAnsi="Arial" w:cs="Arial"/>
          <w:sz w:val="24"/>
          <w:szCs w:val="24"/>
          <w:lang w:bidi="en-US"/>
        </w:rPr>
        <w:t>Millones, donde se han hecho inversiones considerables en cuanto al apoyo e incentivos oto</w:t>
      </w:r>
      <w:r>
        <w:rPr>
          <w:rFonts w:ascii="Arial" w:eastAsia="Times New Roman" w:hAnsi="Arial" w:cs="Arial"/>
          <w:sz w:val="24"/>
          <w:szCs w:val="24"/>
          <w:lang w:bidi="en-US"/>
        </w:rPr>
        <w:t>r</w:t>
      </w:r>
      <w:r w:rsidRPr="007E01C5">
        <w:rPr>
          <w:rFonts w:ascii="Arial" w:eastAsia="Times New Roman" w:hAnsi="Arial" w:cs="Arial"/>
          <w:sz w:val="24"/>
          <w:szCs w:val="24"/>
          <w:lang w:bidi="en-US"/>
        </w:rPr>
        <w:t xml:space="preserve">gados a los estudiantes que pertenecen a los grupos representativos de estudiantes en deporte y cultura; los apoyos a los estudiantes auxiliares que prestan apoyo a las diferentes áreas académico administrativas, salas de sistemas y </w:t>
      </w:r>
      <w:proofErr w:type="spellStart"/>
      <w:r w:rsidRPr="007E01C5">
        <w:rPr>
          <w:rFonts w:ascii="Arial" w:eastAsia="Times New Roman" w:hAnsi="Arial" w:cs="Arial"/>
          <w:sz w:val="24"/>
          <w:szCs w:val="24"/>
          <w:lang w:bidi="en-US"/>
        </w:rPr>
        <w:t>multivisuales</w:t>
      </w:r>
      <w:proofErr w:type="spellEnd"/>
      <w:r w:rsidRPr="007E01C5">
        <w:rPr>
          <w:rFonts w:ascii="Arial" w:eastAsia="Times New Roman" w:hAnsi="Arial" w:cs="Arial"/>
          <w:sz w:val="24"/>
          <w:szCs w:val="24"/>
          <w:lang w:bidi="en-US"/>
        </w:rPr>
        <w:t xml:space="preserve"> del campus; los apoyos para movilidad que se dan a los estudiantes, los apoyos para alimentación y transporte, entre otros. Adicionalmente, todas las actividades recreativas, culturales y deportivas que se promueven desde bienestar para los estudiantes, empleados docentes y administrativos, egresados y familias </w:t>
      </w:r>
      <w:proofErr w:type="spellStart"/>
      <w:r w:rsidRPr="007E01C5">
        <w:rPr>
          <w:rFonts w:ascii="Arial" w:eastAsia="Times New Roman" w:hAnsi="Arial" w:cs="Arial"/>
          <w:sz w:val="24"/>
          <w:szCs w:val="24"/>
          <w:lang w:bidi="en-US"/>
        </w:rPr>
        <w:t>uniquindianas</w:t>
      </w:r>
      <w:proofErr w:type="spellEnd"/>
      <w:r w:rsidRPr="007E01C5">
        <w:rPr>
          <w:rFonts w:ascii="Arial" w:eastAsia="Times New Roman" w:hAnsi="Arial" w:cs="Arial"/>
          <w:sz w:val="24"/>
          <w:szCs w:val="24"/>
          <w:lang w:bidi="en-US"/>
        </w:rPr>
        <w:t>.</w:t>
      </w:r>
    </w:p>
    <w:p w:rsidR="004662E1" w:rsidRPr="007E01C5" w:rsidRDefault="004662E1" w:rsidP="004662E1">
      <w:pPr>
        <w:spacing w:line="276" w:lineRule="auto"/>
        <w:jc w:val="both"/>
        <w:rPr>
          <w:rFonts w:ascii="Arial" w:eastAsia="Times New Roman" w:hAnsi="Arial" w:cs="Arial"/>
          <w:sz w:val="24"/>
          <w:szCs w:val="24"/>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7E01C5">
        <w:rPr>
          <w:rFonts w:ascii="Arial" w:eastAsia="Times New Roman" w:hAnsi="Arial" w:cs="Arial"/>
          <w:sz w:val="24"/>
          <w:szCs w:val="24"/>
          <w:lang w:bidi="en-US"/>
        </w:rPr>
        <w:t xml:space="preserve">El otro pilar que se destaca en cuanto a la inversión es el Pilar 1 “Gestión de la Alta Calidad de la Educación” con una inversión de $10.211 Millones, por medio del cual se ha promovido la parte misional de la Universidad, mediante programas tan importantes como Cualificación docente de alto nivel para profesores de planta, los estímulos económicos otorgados para formación de profesores ocasionales y la promoción en cuanto a formación en 2° Lengua, además de la formación docente en otras áreas y participación docente en eventos cortos.  También, se destaca la inversión en el desarrollo de programas pedagógicos adelantados desde la </w:t>
      </w:r>
      <w:r w:rsidRPr="007E01C5">
        <w:rPr>
          <w:rFonts w:ascii="Arial" w:eastAsia="Times New Roman" w:hAnsi="Arial" w:cs="Arial"/>
          <w:sz w:val="24"/>
          <w:szCs w:val="24"/>
          <w:lang w:bidi="en-US"/>
        </w:rPr>
        <w:lastRenderedPageBreak/>
        <w:t xml:space="preserve">vicerrectoría académica, la inversión en acreditación de programas de alta calidad, la inversión y apoyo a los programas de virtualización y recursos </w:t>
      </w:r>
      <w:proofErr w:type="spellStart"/>
      <w:r w:rsidRPr="007E01C5">
        <w:rPr>
          <w:rFonts w:ascii="Arial" w:eastAsia="Times New Roman" w:hAnsi="Arial" w:cs="Arial"/>
          <w:sz w:val="24"/>
          <w:szCs w:val="24"/>
          <w:lang w:bidi="en-US"/>
        </w:rPr>
        <w:t>TICs</w:t>
      </w:r>
      <w:proofErr w:type="spellEnd"/>
      <w:r w:rsidRPr="007E01C5">
        <w:rPr>
          <w:rFonts w:ascii="Arial" w:eastAsia="Times New Roman" w:hAnsi="Arial" w:cs="Arial"/>
          <w:sz w:val="24"/>
          <w:szCs w:val="24"/>
          <w:lang w:bidi="en-US"/>
        </w:rPr>
        <w:t>, además de la inversión que se ha hecho en cuanto a recursos Bibliográficos virtuales y físicos, además de la modernización del CRAI.</w:t>
      </w:r>
    </w:p>
    <w:p w:rsidR="004662E1" w:rsidRPr="007E01C5" w:rsidRDefault="004662E1" w:rsidP="004662E1">
      <w:pPr>
        <w:spacing w:line="276" w:lineRule="auto"/>
        <w:jc w:val="both"/>
        <w:rPr>
          <w:rFonts w:eastAsia="Times New Roman"/>
          <w:sz w:val="20"/>
          <w:szCs w:val="20"/>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B17A98">
        <w:rPr>
          <w:rFonts w:ascii="Arial" w:eastAsia="Times New Roman" w:hAnsi="Arial" w:cs="Arial"/>
          <w:sz w:val="24"/>
          <w:szCs w:val="24"/>
          <w:lang w:bidi="en-US"/>
        </w:rPr>
        <w:t xml:space="preserve">También se destaca la inversión </w:t>
      </w:r>
      <w:r w:rsidRPr="007E01C5">
        <w:rPr>
          <w:rFonts w:ascii="Arial" w:eastAsia="Times New Roman" w:hAnsi="Arial" w:cs="Arial"/>
          <w:sz w:val="24"/>
          <w:szCs w:val="24"/>
          <w:lang w:bidi="en-US"/>
        </w:rPr>
        <w:t xml:space="preserve">realizada a través del Pilar 7 “Desarrollo Tecnológico” con una inversión de $7.425 Millones, por medio del cual se ha realizado todo el soporte a los ejes misionales y se promovido la modernización de recursos tecnológicos necesarios para lograr el avance y desarrollo de la parte docente, investigación y extensión en la Universidad. Se destacan proyectos como modernización de equipos de cómputo, equipos audiovisuales, servidores, puntos de red y redes inalámbricas y zonas </w:t>
      </w:r>
      <w:proofErr w:type="spellStart"/>
      <w:r w:rsidRPr="007E01C5">
        <w:rPr>
          <w:rFonts w:ascii="Arial" w:eastAsia="Times New Roman" w:hAnsi="Arial" w:cs="Arial"/>
          <w:sz w:val="24"/>
          <w:szCs w:val="24"/>
          <w:lang w:bidi="en-US"/>
        </w:rPr>
        <w:t>Wi</w:t>
      </w:r>
      <w:proofErr w:type="spellEnd"/>
      <w:r w:rsidRPr="007E01C5">
        <w:rPr>
          <w:rFonts w:ascii="Arial" w:eastAsia="Times New Roman" w:hAnsi="Arial" w:cs="Arial"/>
          <w:sz w:val="24"/>
          <w:szCs w:val="24"/>
          <w:lang w:bidi="en-US"/>
        </w:rPr>
        <w:t xml:space="preserve">-fi al interior del campus, sistemas de protección y seguridad firewall en el campus y centros tutoriales, circuito cerrado de seguridad, modernización de salas </w:t>
      </w:r>
      <w:proofErr w:type="spellStart"/>
      <w:r w:rsidRPr="007E01C5">
        <w:rPr>
          <w:rFonts w:ascii="Arial" w:eastAsia="Times New Roman" w:hAnsi="Arial" w:cs="Arial"/>
          <w:sz w:val="24"/>
          <w:szCs w:val="24"/>
          <w:lang w:bidi="en-US"/>
        </w:rPr>
        <w:t>multimediales</w:t>
      </w:r>
      <w:proofErr w:type="spellEnd"/>
      <w:r w:rsidRPr="007E01C5">
        <w:rPr>
          <w:rFonts w:ascii="Arial" w:eastAsia="Times New Roman" w:hAnsi="Arial" w:cs="Arial"/>
          <w:sz w:val="24"/>
          <w:szCs w:val="24"/>
          <w:lang w:bidi="en-US"/>
        </w:rPr>
        <w:t xml:space="preserve"> y dotación de sala MAC, ad</w:t>
      </w:r>
      <w:r>
        <w:rPr>
          <w:rFonts w:ascii="Arial" w:eastAsia="Times New Roman" w:hAnsi="Arial" w:cs="Arial"/>
          <w:sz w:val="24"/>
          <w:szCs w:val="24"/>
          <w:lang w:bidi="en-US"/>
        </w:rPr>
        <w:t>e</w:t>
      </w:r>
      <w:r w:rsidRPr="007E01C5">
        <w:rPr>
          <w:rFonts w:ascii="Arial" w:eastAsia="Times New Roman" w:hAnsi="Arial" w:cs="Arial"/>
          <w:sz w:val="24"/>
          <w:szCs w:val="24"/>
          <w:lang w:bidi="en-US"/>
        </w:rPr>
        <w:t xml:space="preserve">más de licencias de software y programas de cómputo requeridos en la parte docente y administrativa. </w:t>
      </w:r>
    </w:p>
    <w:p w:rsidR="004662E1" w:rsidRPr="007E01C5" w:rsidRDefault="004662E1" w:rsidP="004662E1">
      <w:pPr>
        <w:spacing w:line="276" w:lineRule="auto"/>
        <w:jc w:val="both"/>
        <w:rPr>
          <w:rFonts w:ascii="Arial" w:eastAsia="Times New Roman" w:hAnsi="Arial" w:cs="Arial"/>
          <w:sz w:val="24"/>
          <w:szCs w:val="24"/>
          <w:lang w:bidi="en-US"/>
        </w:rPr>
      </w:pPr>
    </w:p>
    <w:p w:rsidR="004662E1" w:rsidRPr="007E01C5" w:rsidRDefault="004662E1" w:rsidP="004662E1">
      <w:pPr>
        <w:spacing w:line="276" w:lineRule="auto"/>
        <w:jc w:val="both"/>
        <w:rPr>
          <w:rFonts w:eastAsia="Times New Roman"/>
          <w:sz w:val="20"/>
          <w:szCs w:val="20"/>
          <w:lang w:bidi="en-US"/>
        </w:rPr>
      </w:pPr>
      <w:r w:rsidRPr="007E01C5">
        <w:rPr>
          <w:rFonts w:ascii="Arial" w:eastAsia="Times New Roman" w:hAnsi="Arial" w:cs="Arial"/>
          <w:sz w:val="24"/>
          <w:szCs w:val="24"/>
          <w:lang w:bidi="en-US"/>
        </w:rPr>
        <w:t>En cuanto a los demás pilares, la inversión no ha sido tan representativa, pero se destacan programas tan importantes como los del Pilar 4 “Internacionalización” donde se ha promovido la movilización estudiantes entrantes y salientes, movilidad internacional de docentes y demás programas de apoyo a las actividades generales de internacionalización. También se tiene la inversión en los programas que se han puesto en marcha desde los Pilares 3 “Extensión y Relaciones con el Medio”, el Pilar 6 “Gestión y Desarrollo Institucional”, por medio de l</w:t>
      </w:r>
      <w:r>
        <w:rPr>
          <w:rFonts w:ascii="Arial" w:eastAsia="Times New Roman" w:hAnsi="Arial" w:cs="Arial"/>
          <w:sz w:val="24"/>
          <w:szCs w:val="24"/>
          <w:lang w:bidi="en-US"/>
        </w:rPr>
        <w:t>os cuales se ha promovido la mo</w:t>
      </w:r>
      <w:r w:rsidRPr="007E01C5">
        <w:rPr>
          <w:rFonts w:ascii="Arial" w:eastAsia="Times New Roman" w:hAnsi="Arial" w:cs="Arial"/>
          <w:sz w:val="24"/>
          <w:szCs w:val="24"/>
          <w:lang w:bidi="en-US"/>
        </w:rPr>
        <w:t>dernización institucional y la firma de convenios con actores locales y regionales.</w:t>
      </w:r>
    </w:p>
    <w:p w:rsidR="004662E1" w:rsidRPr="007E01C5" w:rsidRDefault="004662E1" w:rsidP="004662E1">
      <w:pPr>
        <w:spacing w:line="276" w:lineRule="auto"/>
        <w:jc w:val="both"/>
        <w:rPr>
          <w:rFonts w:eastAsia="Times New Roman"/>
          <w:sz w:val="20"/>
          <w:szCs w:val="20"/>
          <w:lang w:bidi="en-US"/>
        </w:rPr>
      </w:pPr>
    </w:p>
    <w:p w:rsidR="004662E1" w:rsidRPr="007E01C5" w:rsidRDefault="004662E1" w:rsidP="004662E1">
      <w:pPr>
        <w:spacing w:line="276" w:lineRule="auto"/>
        <w:jc w:val="both"/>
        <w:rPr>
          <w:rFonts w:ascii="Arial" w:eastAsia="Times New Roman" w:hAnsi="Arial" w:cs="Arial"/>
          <w:sz w:val="24"/>
          <w:szCs w:val="24"/>
          <w:lang w:bidi="en-US"/>
        </w:rPr>
      </w:pPr>
    </w:p>
    <w:p w:rsidR="004662E1" w:rsidRDefault="004662E1" w:rsidP="004662E1">
      <w:pPr>
        <w:spacing w:line="276" w:lineRule="auto"/>
        <w:jc w:val="both"/>
        <w:rPr>
          <w:rFonts w:ascii="Arial" w:eastAsia="Times New Roman" w:hAnsi="Arial" w:cs="Arial"/>
          <w:sz w:val="24"/>
          <w:szCs w:val="24"/>
          <w:lang w:bidi="en-US"/>
        </w:rPr>
      </w:pPr>
      <w:r w:rsidRPr="00B90E08">
        <w:rPr>
          <w:rFonts w:ascii="Arial" w:eastAsia="Times New Roman" w:hAnsi="Arial" w:cs="Arial"/>
          <w:sz w:val="24"/>
          <w:szCs w:val="24"/>
          <w:lang w:bidi="en-US"/>
        </w:rPr>
        <w:t>A continuación se analiza la</w:t>
      </w:r>
      <w:r w:rsidRPr="007E01C5">
        <w:rPr>
          <w:rFonts w:ascii="Arial" w:eastAsia="Times New Roman" w:hAnsi="Arial" w:cs="Arial"/>
          <w:sz w:val="24"/>
          <w:szCs w:val="24"/>
          <w:lang w:bidi="en-US"/>
        </w:rPr>
        <w:t xml:space="preserve"> evolución de la inversión anual por pilar y después la gráfica con el acumulado del período 2008-2015.</w:t>
      </w:r>
    </w:p>
    <w:p w:rsidR="004662E1" w:rsidRDefault="004662E1" w:rsidP="004662E1">
      <w:pPr>
        <w:spacing w:line="276" w:lineRule="auto"/>
        <w:jc w:val="both"/>
        <w:rPr>
          <w:rFonts w:ascii="Arial" w:eastAsia="Times New Roman" w:hAnsi="Arial" w:cs="Arial"/>
          <w:sz w:val="24"/>
          <w:szCs w:val="24"/>
          <w:lang w:bidi="en-US"/>
        </w:rPr>
      </w:pPr>
    </w:p>
    <w:p w:rsidR="004662E1" w:rsidRPr="007E01C5" w:rsidRDefault="004662E1" w:rsidP="004662E1">
      <w:pPr>
        <w:spacing w:line="276" w:lineRule="auto"/>
        <w:jc w:val="both"/>
        <w:rPr>
          <w:rFonts w:ascii="Arial" w:eastAsia="Times New Roman" w:hAnsi="Arial" w:cs="Arial"/>
          <w:b/>
          <w:lang w:bidi="en-US"/>
        </w:rPr>
      </w:pPr>
      <w:r w:rsidRPr="007E01C5">
        <w:rPr>
          <w:rFonts w:ascii="Arial" w:eastAsia="Times New Roman" w:hAnsi="Arial" w:cs="Arial"/>
          <w:b/>
          <w:lang w:bidi="en-US"/>
        </w:rPr>
        <w:t>ANÁLISIS GRÁFICO DEL HISTÓRICO DE LA INVERSIÓN 2008 AL 2015 PILAR 1:</w:t>
      </w:r>
    </w:p>
    <w:p w:rsidR="004662E1" w:rsidRDefault="004662E1" w:rsidP="004662E1">
      <w:pPr>
        <w:jc w:val="both"/>
        <w:rPr>
          <w:rFonts w:eastAsia="Times New Roman"/>
          <w:sz w:val="18"/>
          <w:lang w:bidi="en-US"/>
        </w:rPr>
      </w:pPr>
    </w:p>
    <w:p w:rsidR="004662E1" w:rsidRPr="007E01C5" w:rsidRDefault="004662E1" w:rsidP="004662E1">
      <w:pPr>
        <w:jc w:val="both"/>
        <w:rPr>
          <w:rFonts w:eastAsia="Times New Roman"/>
          <w:sz w:val="18"/>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7E01C5">
        <w:rPr>
          <w:rFonts w:ascii="Arial" w:eastAsia="Times New Roman" w:hAnsi="Arial" w:cs="Arial"/>
          <w:b/>
          <w:sz w:val="24"/>
          <w:szCs w:val="24"/>
          <w:lang w:bidi="en-US"/>
        </w:rPr>
        <w:t>Pilar 1. Gestión de la Calidad de la Educación</w:t>
      </w:r>
      <w:r w:rsidRPr="007E01C5">
        <w:rPr>
          <w:rFonts w:ascii="Arial" w:eastAsia="Times New Roman" w:hAnsi="Arial" w:cs="Arial"/>
          <w:sz w:val="20"/>
          <w:szCs w:val="20"/>
          <w:lang w:bidi="en-US"/>
        </w:rPr>
        <w:t xml:space="preserve">: </w:t>
      </w:r>
      <w:r w:rsidRPr="007E01C5">
        <w:rPr>
          <w:rFonts w:ascii="Arial" w:eastAsia="Times New Roman" w:hAnsi="Arial" w:cs="Arial"/>
          <w:sz w:val="24"/>
          <w:szCs w:val="24"/>
          <w:lang w:bidi="en-US"/>
        </w:rPr>
        <w:t xml:space="preserve">Presenta una ejecución acumulada de $10.210 millones ejecutados en proyectos de acreditación, fortalecimiento de la disponibilidad bibliográfica y el fortalecimiento del Plan de Desarrollo Profesoral que incluye formación de alto nivel para docentes de planta, estímulos económicos para docentes ocasionales, perfeccionamiento de Segunda Lengua, formación profesoral y participación en eventos cortos nacionales e internacionales.  </w:t>
      </w:r>
    </w:p>
    <w:p w:rsidR="004662E1" w:rsidRDefault="004662E1" w:rsidP="004662E1">
      <w:pPr>
        <w:spacing w:line="276" w:lineRule="auto"/>
        <w:jc w:val="both"/>
        <w:rPr>
          <w:rFonts w:ascii="Arial" w:eastAsia="Times New Roman" w:hAnsi="Arial" w:cs="Arial"/>
          <w:sz w:val="20"/>
          <w:szCs w:val="24"/>
          <w:lang w:bidi="en-US"/>
        </w:rPr>
      </w:pPr>
    </w:p>
    <w:p w:rsidR="004662E1" w:rsidRPr="007E01C5" w:rsidRDefault="004662E1" w:rsidP="004662E1">
      <w:pPr>
        <w:jc w:val="center"/>
        <w:rPr>
          <w:rFonts w:ascii="Arial" w:eastAsia="Times New Roman" w:hAnsi="Arial" w:cs="Arial"/>
          <w:i/>
          <w:sz w:val="20"/>
          <w:szCs w:val="20"/>
          <w:lang w:bidi="en-US"/>
        </w:rPr>
      </w:pPr>
      <w:bookmarkStart w:id="10" w:name="_Toc438487359"/>
      <w:r w:rsidRPr="007E01C5">
        <w:rPr>
          <w:rFonts w:ascii="Arial" w:eastAsia="Times New Roman" w:hAnsi="Arial" w:cs="Arial"/>
          <w:i/>
          <w:sz w:val="20"/>
          <w:szCs w:val="20"/>
          <w:lang w:bidi="en-US"/>
        </w:rPr>
        <w:lastRenderedPageBreak/>
        <w:t xml:space="preserve">Gráfica </w:t>
      </w:r>
      <w:r w:rsidR="006B5E9A">
        <w:rPr>
          <w:rFonts w:ascii="Arial" w:eastAsia="Times New Roman" w:hAnsi="Arial" w:cs="Arial"/>
          <w:i/>
          <w:sz w:val="20"/>
          <w:szCs w:val="20"/>
          <w:lang w:bidi="en-US"/>
        </w:rPr>
        <w:t>5</w:t>
      </w:r>
      <w:r w:rsidRPr="007E01C5">
        <w:rPr>
          <w:rFonts w:ascii="Arial" w:eastAsia="Times New Roman" w:hAnsi="Arial" w:cs="Arial"/>
          <w:i/>
          <w:sz w:val="20"/>
          <w:szCs w:val="20"/>
          <w:lang w:bidi="en-US"/>
        </w:rPr>
        <w:t xml:space="preserve"> – Inversión Anual Pilar 1 – Gestión de Alta Calidad de la Educación</w:t>
      </w:r>
      <w:bookmarkEnd w:id="10"/>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7E01C5" w:rsidRDefault="004662E1" w:rsidP="004662E1">
      <w:pPr>
        <w:jc w:val="both"/>
        <w:rPr>
          <w:rFonts w:eastAsia="Times New Roman"/>
          <w:sz w:val="20"/>
          <w:lang w:bidi="en-US"/>
        </w:rPr>
      </w:pPr>
    </w:p>
    <w:p w:rsidR="004662E1" w:rsidRPr="007E01C5" w:rsidRDefault="004662E1" w:rsidP="004662E1">
      <w:pPr>
        <w:jc w:val="center"/>
        <w:rPr>
          <w:rFonts w:eastAsia="Times New Roman"/>
          <w:sz w:val="20"/>
          <w:lang w:bidi="en-US"/>
        </w:rPr>
      </w:pPr>
      <w:r w:rsidRPr="007E01C5">
        <w:rPr>
          <w:rFonts w:eastAsia="Times New Roman"/>
          <w:noProof/>
          <w:sz w:val="20"/>
          <w:szCs w:val="20"/>
          <w:lang w:eastAsia="es-CO"/>
        </w:rPr>
        <w:drawing>
          <wp:inline distT="0" distB="0" distL="0" distR="0" wp14:anchorId="27ECC45A" wp14:editId="413575EE">
            <wp:extent cx="5743575" cy="3886200"/>
            <wp:effectExtent l="0" t="0" r="9525" b="0"/>
            <wp:docPr id="24" name="Gráfico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662E1" w:rsidRDefault="004662E1"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Pr="007E01C5" w:rsidRDefault="004662E1" w:rsidP="004662E1">
      <w:pPr>
        <w:jc w:val="center"/>
        <w:rPr>
          <w:rFonts w:ascii="Arial" w:eastAsia="Times New Roman" w:hAnsi="Arial" w:cs="Arial"/>
          <w:i/>
          <w:sz w:val="20"/>
          <w:szCs w:val="20"/>
          <w:lang w:bidi="en-US"/>
        </w:rPr>
      </w:pPr>
    </w:p>
    <w:p w:rsidR="004662E1" w:rsidRDefault="004662E1" w:rsidP="004662E1">
      <w:pPr>
        <w:jc w:val="center"/>
        <w:rPr>
          <w:rFonts w:ascii="Arial" w:eastAsia="Times New Roman" w:hAnsi="Arial" w:cs="Arial"/>
          <w:i/>
          <w:sz w:val="20"/>
          <w:szCs w:val="20"/>
          <w:lang w:bidi="en-US"/>
        </w:rPr>
      </w:pPr>
    </w:p>
    <w:p w:rsidR="006B5E9A" w:rsidRDefault="006B5E9A">
      <w:pPr>
        <w:rPr>
          <w:rFonts w:ascii="Arial" w:eastAsia="Times New Roman" w:hAnsi="Arial" w:cs="Arial"/>
          <w:i/>
          <w:sz w:val="20"/>
          <w:szCs w:val="20"/>
          <w:lang w:bidi="en-US"/>
        </w:rPr>
      </w:pPr>
      <w:r>
        <w:rPr>
          <w:rFonts w:ascii="Arial" w:eastAsia="Times New Roman" w:hAnsi="Arial" w:cs="Arial"/>
          <w:i/>
          <w:sz w:val="20"/>
          <w:szCs w:val="20"/>
          <w:lang w:bidi="en-US"/>
        </w:rPr>
        <w:br w:type="page"/>
      </w:r>
    </w:p>
    <w:p w:rsidR="004662E1" w:rsidRDefault="004662E1" w:rsidP="004662E1">
      <w:pPr>
        <w:jc w:val="center"/>
        <w:rPr>
          <w:rFonts w:ascii="Arial" w:eastAsia="Times New Roman" w:hAnsi="Arial" w:cs="Arial"/>
          <w:i/>
          <w:sz w:val="20"/>
          <w:szCs w:val="20"/>
          <w:lang w:bidi="en-US"/>
        </w:rPr>
      </w:pPr>
    </w:p>
    <w:p w:rsidR="004662E1" w:rsidRPr="007E01C5" w:rsidRDefault="004662E1" w:rsidP="004662E1">
      <w:pPr>
        <w:jc w:val="center"/>
        <w:rPr>
          <w:rFonts w:ascii="Arial" w:eastAsia="Times New Roman" w:hAnsi="Arial" w:cs="Arial"/>
          <w:i/>
          <w:sz w:val="20"/>
          <w:szCs w:val="20"/>
          <w:lang w:bidi="en-US"/>
        </w:rPr>
      </w:pPr>
      <w:bookmarkStart w:id="11" w:name="_Toc438487360"/>
      <w:r w:rsidRPr="007E01C5">
        <w:rPr>
          <w:rFonts w:ascii="Arial" w:eastAsia="Times New Roman" w:hAnsi="Arial" w:cs="Arial"/>
          <w:i/>
          <w:sz w:val="20"/>
          <w:szCs w:val="20"/>
          <w:lang w:bidi="en-US"/>
        </w:rPr>
        <w:t>Gráfica</w:t>
      </w:r>
      <w:r w:rsidR="006B5E9A">
        <w:rPr>
          <w:rFonts w:ascii="Arial" w:eastAsia="Times New Roman" w:hAnsi="Arial" w:cs="Arial"/>
          <w:i/>
          <w:sz w:val="20"/>
          <w:szCs w:val="20"/>
          <w:lang w:bidi="en-US"/>
        </w:rPr>
        <w:t xml:space="preserve"> 6</w:t>
      </w:r>
      <w:r w:rsidRPr="007E01C5">
        <w:rPr>
          <w:rFonts w:ascii="Arial" w:eastAsia="Times New Roman" w:hAnsi="Arial" w:cs="Arial"/>
          <w:i/>
          <w:sz w:val="20"/>
          <w:szCs w:val="20"/>
          <w:lang w:bidi="en-US"/>
        </w:rPr>
        <w:t>– Inversión Acumulada Pilar 1 – Gestión de Alta Calidad de la Educación</w:t>
      </w:r>
      <w:bookmarkEnd w:id="11"/>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907CF0" w:rsidRDefault="004662E1" w:rsidP="004662E1">
      <w:pPr>
        <w:jc w:val="both"/>
        <w:rPr>
          <w:rFonts w:eastAsia="Times New Roman"/>
          <w:sz w:val="16"/>
          <w:lang w:bidi="en-US"/>
        </w:rPr>
      </w:pPr>
    </w:p>
    <w:p w:rsidR="004662E1" w:rsidRPr="007E01C5" w:rsidRDefault="004662E1" w:rsidP="004662E1">
      <w:pPr>
        <w:jc w:val="center"/>
        <w:rPr>
          <w:rFonts w:eastAsia="Times New Roman"/>
          <w:sz w:val="20"/>
          <w:szCs w:val="20"/>
          <w:lang w:bidi="en-US"/>
        </w:rPr>
      </w:pPr>
      <w:r w:rsidRPr="007E01C5">
        <w:rPr>
          <w:rFonts w:eastAsia="Times New Roman"/>
          <w:noProof/>
          <w:sz w:val="20"/>
          <w:szCs w:val="20"/>
          <w:lang w:eastAsia="es-CO"/>
        </w:rPr>
        <mc:AlternateContent>
          <mc:Choice Requires="wps">
            <w:drawing>
              <wp:anchor distT="0" distB="0" distL="114300" distR="114300" simplePos="0" relativeHeight="251662336" behindDoc="0" locked="0" layoutInCell="1" allowOverlap="1" wp14:anchorId="3AF9FF02" wp14:editId="23B8B783">
                <wp:simplePos x="0" y="0"/>
                <wp:positionH relativeFrom="margin">
                  <wp:align>center</wp:align>
                </wp:positionH>
                <wp:positionV relativeFrom="paragraph">
                  <wp:posOffset>1130300</wp:posOffset>
                </wp:positionV>
                <wp:extent cx="4126984" cy="565378"/>
                <wp:effectExtent l="0" t="361950" r="0" b="730250"/>
                <wp:wrapNone/>
                <wp:docPr id="8" name="Flecha curvada hacia abajo 5"/>
                <wp:cNvGraphicFramePr/>
                <a:graphic xmlns:a="http://schemas.openxmlformats.org/drawingml/2006/main">
                  <a:graphicData uri="http://schemas.microsoft.com/office/word/2010/wordprocessingShape">
                    <wps:wsp>
                      <wps:cNvSpPr/>
                      <wps:spPr>
                        <a:xfrm rot="20356371">
                          <a:off x="0" y="0"/>
                          <a:ext cx="4126984" cy="565378"/>
                        </a:xfrm>
                        <a:prstGeom prst="curvedDownArrow">
                          <a:avLst/>
                        </a:prstGeom>
                        <a:solidFill>
                          <a:srgbClr val="5B9BD5"/>
                        </a:solidFill>
                        <a:ln w="12700" cap="flat" cmpd="sng" algn="ctr">
                          <a:solidFill>
                            <a:srgbClr val="FFFF00"/>
                          </a:solidFill>
                          <a:prstDash val="solid"/>
                          <a:miter lim="800000"/>
                        </a:ln>
                        <a:effectLst/>
                      </wps:spPr>
                      <wps:bodyPr vertOverflow="clip" horzOverflow="clip" rtlCol="0" anchor="t"/>
                    </wps:wsp>
                  </a:graphicData>
                </a:graphic>
                <wp14:sizeRelH relativeFrom="margin">
                  <wp14:pctWidth>0</wp14:pctWidth>
                </wp14:sizeRelH>
                <wp14:sizeRelV relativeFrom="margin">
                  <wp14:pctHeight>0</wp14:pctHeight>
                </wp14:sizeRelV>
              </wp:anchor>
            </w:drawing>
          </mc:Choice>
          <mc:Fallback>
            <w:pict>
              <v:shapetype w14:anchorId="25BDC757"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Flecha curvada hacia abajo 5" o:spid="_x0000_s1026" type="#_x0000_t105" style="position:absolute;margin-left:0;margin-top:89pt;width:324.95pt;height:44.5pt;rotation:-1358375fd;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" adj="20120,21230,16200" fillcolor="#5b9bd5" strokecolor="yellow" strokeweight="1pt">
                <w10:wrap anchorx="margin"/>
              </v:shape>
            </w:pict>
          </mc:Fallback>
        </mc:AlternateContent>
      </w:r>
      <w:r w:rsidRPr="007E01C5">
        <w:rPr>
          <w:rFonts w:eastAsia="Times New Roman"/>
          <w:noProof/>
          <w:sz w:val="20"/>
          <w:szCs w:val="20"/>
          <w:lang w:eastAsia="es-CO"/>
        </w:rPr>
        <w:drawing>
          <wp:inline distT="0" distB="0" distL="0" distR="0" wp14:anchorId="0064D085" wp14:editId="36A02D13">
            <wp:extent cx="5057775" cy="3419475"/>
            <wp:effectExtent l="0" t="0" r="9525" b="9525"/>
            <wp:docPr id="25" name="Gráfico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662E1" w:rsidRDefault="004662E1"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Default="004662E1" w:rsidP="004662E1">
      <w:pPr>
        <w:spacing w:line="276" w:lineRule="auto"/>
        <w:jc w:val="both"/>
        <w:rPr>
          <w:rFonts w:ascii="Arial" w:eastAsia="Times New Roman" w:hAnsi="Arial" w:cs="Arial"/>
          <w:b/>
          <w:szCs w:val="24"/>
          <w:lang w:bidi="en-US"/>
        </w:rPr>
      </w:pPr>
    </w:p>
    <w:p w:rsidR="004662E1" w:rsidRPr="007E01C5" w:rsidRDefault="004662E1" w:rsidP="004662E1">
      <w:pPr>
        <w:spacing w:line="276" w:lineRule="auto"/>
        <w:jc w:val="both"/>
        <w:rPr>
          <w:rFonts w:ascii="Arial" w:eastAsia="Times New Roman" w:hAnsi="Arial" w:cs="Arial"/>
          <w:b/>
          <w:szCs w:val="24"/>
          <w:lang w:bidi="en-US"/>
        </w:rPr>
      </w:pPr>
      <w:r w:rsidRPr="007E01C5">
        <w:rPr>
          <w:rFonts w:ascii="Arial" w:eastAsia="Times New Roman" w:hAnsi="Arial" w:cs="Arial"/>
          <w:b/>
          <w:szCs w:val="24"/>
          <w:lang w:bidi="en-US"/>
        </w:rPr>
        <w:t>ANÁLISIS GRÁFICO DEL HISTÓRICO DE LA INVERSIÓN 2008 AL 2015 PILAR 2:</w:t>
      </w:r>
    </w:p>
    <w:p w:rsidR="004662E1" w:rsidRPr="00223E19" w:rsidRDefault="004662E1" w:rsidP="004662E1">
      <w:pPr>
        <w:spacing w:line="276" w:lineRule="auto"/>
        <w:jc w:val="both"/>
        <w:rPr>
          <w:rFonts w:ascii="Arial" w:eastAsia="Times New Roman" w:hAnsi="Arial" w:cs="Arial"/>
          <w:b/>
          <w:sz w:val="16"/>
          <w:szCs w:val="24"/>
          <w:lang w:bidi="en-US"/>
        </w:rPr>
      </w:pPr>
    </w:p>
    <w:p w:rsidR="004662E1" w:rsidRPr="00907CF0" w:rsidRDefault="004662E1" w:rsidP="004662E1">
      <w:pPr>
        <w:spacing w:line="276" w:lineRule="auto"/>
        <w:jc w:val="both"/>
        <w:rPr>
          <w:rFonts w:ascii="Arial" w:eastAsia="Times New Roman" w:hAnsi="Arial" w:cs="Arial"/>
          <w:b/>
          <w:sz w:val="24"/>
          <w:szCs w:val="24"/>
          <w:lang w:bidi="en-US"/>
        </w:rPr>
      </w:pPr>
      <w:r w:rsidRPr="007E01C5">
        <w:rPr>
          <w:rFonts w:ascii="Arial" w:eastAsia="Times New Roman" w:hAnsi="Arial" w:cs="Arial"/>
          <w:b/>
          <w:sz w:val="24"/>
          <w:szCs w:val="24"/>
          <w:lang w:bidi="en-US"/>
        </w:rPr>
        <w:t>Pilar 2. Fomento Investigativo</w:t>
      </w:r>
      <w:r>
        <w:rPr>
          <w:rFonts w:ascii="Arial" w:eastAsia="Times New Roman" w:hAnsi="Arial" w:cs="Arial"/>
          <w:b/>
          <w:sz w:val="24"/>
          <w:szCs w:val="24"/>
          <w:lang w:bidi="en-US"/>
        </w:rPr>
        <w:t>:</w:t>
      </w:r>
      <w:r w:rsidRPr="007E01C5">
        <w:rPr>
          <w:rFonts w:ascii="Arial" w:eastAsia="Times New Roman" w:hAnsi="Arial" w:cs="Arial"/>
          <w:b/>
          <w:sz w:val="24"/>
          <w:szCs w:val="24"/>
          <w:lang w:bidi="en-US"/>
        </w:rPr>
        <w:t xml:space="preserve"> </w:t>
      </w:r>
      <w:r w:rsidRPr="007E01C5">
        <w:rPr>
          <w:rFonts w:ascii="Arial" w:eastAsia="Times New Roman" w:hAnsi="Arial" w:cs="Arial"/>
          <w:sz w:val="24"/>
          <w:szCs w:val="24"/>
          <w:lang w:bidi="en-US"/>
        </w:rPr>
        <w:t>alcanzó una ejecución acumulada de $18.984 millones de pesos, donde se de</w:t>
      </w:r>
      <w:r>
        <w:rPr>
          <w:rFonts w:ascii="Arial" w:eastAsia="Times New Roman" w:hAnsi="Arial" w:cs="Arial"/>
          <w:sz w:val="24"/>
          <w:szCs w:val="24"/>
          <w:lang w:bidi="en-US"/>
        </w:rPr>
        <w:t>s</w:t>
      </w:r>
      <w:r w:rsidRPr="007E01C5">
        <w:rPr>
          <w:rFonts w:ascii="Arial" w:eastAsia="Times New Roman" w:hAnsi="Arial" w:cs="Arial"/>
          <w:sz w:val="24"/>
          <w:szCs w:val="24"/>
          <w:lang w:bidi="en-US"/>
        </w:rPr>
        <w:t>taca el trabajo que se ha hecho con los grupos y centros de investigación, los proyectos de jóvenes investigadores, los proyectos de investigación aplicada en la básica y media del departamento, entre otros.</w:t>
      </w:r>
    </w:p>
    <w:p w:rsidR="004662E1" w:rsidRPr="00223E19" w:rsidRDefault="004662E1" w:rsidP="004662E1">
      <w:pPr>
        <w:jc w:val="center"/>
        <w:rPr>
          <w:rFonts w:ascii="Arial" w:eastAsia="Times New Roman" w:hAnsi="Arial" w:cs="Arial"/>
          <w:i/>
          <w:sz w:val="14"/>
          <w:szCs w:val="20"/>
          <w:lang w:bidi="en-US"/>
        </w:rPr>
      </w:pPr>
    </w:p>
    <w:p w:rsidR="004662E1" w:rsidRPr="007E01C5" w:rsidRDefault="004662E1" w:rsidP="004662E1">
      <w:pPr>
        <w:jc w:val="center"/>
        <w:rPr>
          <w:rFonts w:ascii="Arial" w:eastAsia="Times New Roman" w:hAnsi="Arial" w:cs="Arial"/>
          <w:i/>
          <w:sz w:val="20"/>
          <w:szCs w:val="20"/>
          <w:lang w:bidi="en-US"/>
        </w:rPr>
      </w:pPr>
      <w:bookmarkStart w:id="12" w:name="_Toc438487361"/>
      <w:r w:rsidRPr="007E01C5">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7</w:t>
      </w:r>
      <w:r w:rsidRPr="007E01C5">
        <w:rPr>
          <w:rFonts w:ascii="Arial" w:eastAsia="Times New Roman" w:hAnsi="Arial" w:cs="Arial"/>
          <w:i/>
          <w:sz w:val="20"/>
          <w:szCs w:val="20"/>
          <w:lang w:bidi="en-US"/>
        </w:rPr>
        <w:t xml:space="preserve"> – Inversión Anual Pilar 2 – Fomento a la Investigación</w:t>
      </w:r>
      <w:bookmarkEnd w:id="12"/>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907CF0" w:rsidRDefault="004662E1" w:rsidP="004662E1">
      <w:pPr>
        <w:jc w:val="center"/>
        <w:rPr>
          <w:rFonts w:ascii="Arial" w:eastAsia="Times New Roman" w:hAnsi="Arial" w:cs="Arial"/>
          <w:i/>
          <w:sz w:val="16"/>
          <w:szCs w:val="20"/>
          <w:lang w:bidi="en-US"/>
        </w:rPr>
      </w:pPr>
    </w:p>
    <w:p w:rsidR="004662E1" w:rsidRPr="007E01C5" w:rsidRDefault="004662E1" w:rsidP="004662E1">
      <w:pPr>
        <w:jc w:val="center"/>
        <w:rPr>
          <w:rFonts w:eastAsia="Times New Roman"/>
          <w:lang w:bidi="en-US"/>
        </w:rPr>
      </w:pPr>
      <w:r w:rsidRPr="007E01C5">
        <w:rPr>
          <w:rFonts w:eastAsia="Times New Roman"/>
          <w:noProof/>
          <w:sz w:val="20"/>
          <w:szCs w:val="20"/>
          <w:lang w:eastAsia="es-CO"/>
        </w:rPr>
        <w:drawing>
          <wp:inline distT="0" distB="0" distL="0" distR="0" wp14:anchorId="39EDF291" wp14:editId="787F8388">
            <wp:extent cx="5362575" cy="3057525"/>
            <wp:effectExtent l="0" t="0" r="9525" b="9525"/>
            <wp:docPr id="26" name="Gráfico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662E1" w:rsidRPr="00907CF0" w:rsidRDefault="004662E1" w:rsidP="004662E1">
      <w:pPr>
        <w:jc w:val="both"/>
        <w:rPr>
          <w:rFonts w:ascii="Arial" w:eastAsia="Times New Roman" w:hAnsi="Arial" w:cs="Arial"/>
          <w:i/>
          <w:sz w:val="16"/>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6B5E9A" w:rsidRDefault="006B5E9A">
      <w:pPr>
        <w:rPr>
          <w:rFonts w:ascii="Arial" w:eastAsia="Times New Roman" w:hAnsi="Arial" w:cs="Arial"/>
          <w:i/>
          <w:sz w:val="20"/>
          <w:szCs w:val="20"/>
          <w:lang w:bidi="en-US"/>
        </w:rPr>
      </w:pPr>
      <w:r>
        <w:rPr>
          <w:rFonts w:ascii="Arial" w:eastAsia="Times New Roman" w:hAnsi="Arial" w:cs="Arial"/>
          <w:i/>
          <w:sz w:val="20"/>
          <w:szCs w:val="20"/>
          <w:lang w:bidi="en-US"/>
        </w:rPr>
        <w:br w:type="page"/>
      </w:r>
    </w:p>
    <w:p w:rsidR="004662E1" w:rsidRDefault="004662E1" w:rsidP="004662E1">
      <w:pPr>
        <w:jc w:val="center"/>
        <w:rPr>
          <w:rFonts w:ascii="Arial" w:eastAsia="Times New Roman" w:hAnsi="Arial" w:cs="Arial"/>
          <w:i/>
          <w:sz w:val="20"/>
          <w:szCs w:val="20"/>
          <w:lang w:bidi="en-US"/>
        </w:rPr>
      </w:pPr>
    </w:p>
    <w:p w:rsidR="004662E1" w:rsidRPr="007E01C5" w:rsidRDefault="004662E1" w:rsidP="004662E1">
      <w:pPr>
        <w:jc w:val="center"/>
        <w:rPr>
          <w:rFonts w:ascii="Arial" w:eastAsia="Times New Roman" w:hAnsi="Arial" w:cs="Arial"/>
          <w:i/>
          <w:sz w:val="20"/>
          <w:szCs w:val="20"/>
          <w:lang w:bidi="en-US"/>
        </w:rPr>
      </w:pPr>
      <w:bookmarkStart w:id="13" w:name="_Toc438487362"/>
      <w:r w:rsidRPr="007E01C5">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8</w:t>
      </w:r>
      <w:r w:rsidRPr="007E01C5">
        <w:rPr>
          <w:rFonts w:ascii="Arial" w:eastAsia="Times New Roman" w:hAnsi="Arial" w:cs="Arial"/>
          <w:i/>
          <w:sz w:val="20"/>
          <w:szCs w:val="20"/>
          <w:lang w:bidi="en-US"/>
        </w:rPr>
        <w:t xml:space="preserve"> – Inversión Acumulada Pilar 2 – Fomento a la Investigación</w:t>
      </w:r>
      <w:bookmarkEnd w:id="13"/>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223E19" w:rsidRDefault="004662E1" w:rsidP="004662E1">
      <w:pPr>
        <w:jc w:val="both"/>
        <w:rPr>
          <w:rFonts w:eastAsia="Times New Roman"/>
          <w:sz w:val="14"/>
          <w:lang w:bidi="en-US"/>
        </w:rPr>
      </w:pPr>
    </w:p>
    <w:p w:rsidR="004662E1" w:rsidRPr="007E01C5" w:rsidRDefault="004662E1" w:rsidP="004662E1">
      <w:pPr>
        <w:jc w:val="center"/>
        <w:rPr>
          <w:rFonts w:eastAsia="Times New Roman"/>
          <w:sz w:val="20"/>
          <w:szCs w:val="20"/>
          <w:lang w:bidi="en-US"/>
        </w:rPr>
      </w:pPr>
      <w:r w:rsidRPr="007E01C5">
        <w:rPr>
          <w:rFonts w:eastAsia="Times New Roman"/>
          <w:noProof/>
          <w:sz w:val="20"/>
          <w:szCs w:val="20"/>
          <w:lang w:eastAsia="es-CO"/>
        </w:rPr>
        <mc:AlternateContent>
          <mc:Choice Requires="wps">
            <w:drawing>
              <wp:anchor distT="0" distB="0" distL="114300" distR="114300" simplePos="0" relativeHeight="251661312" behindDoc="0" locked="0" layoutInCell="1" allowOverlap="1" wp14:anchorId="4EE5F6F6" wp14:editId="67400D43">
                <wp:simplePos x="0" y="0"/>
                <wp:positionH relativeFrom="margin">
                  <wp:posOffset>779913</wp:posOffset>
                </wp:positionH>
                <wp:positionV relativeFrom="paragraph">
                  <wp:posOffset>1053183</wp:posOffset>
                </wp:positionV>
                <wp:extent cx="4355062" cy="533370"/>
                <wp:effectExtent l="0" t="571500" r="0" b="953135"/>
                <wp:wrapNone/>
                <wp:docPr id="5" name="Flecha curvada hacia abajo 2"/>
                <wp:cNvGraphicFramePr/>
                <a:graphic xmlns:a="http://schemas.openxmlformats.org/drawingml/2006/main">
                  <a:graphicData uri="http://schemas.microsoft.com/office/word/2010/wordprocessingShape">
                    <wps:wsp>
                      <wps:cNvSpPr/>
                      <wps:spPr>
                        <a:xfrm rot="20030430">
                          <a:off x="0" y="0"/>
                          <a:ext cx="4355062" cy="533370"/>
                        </a:xfrm>
                        <a:prstGeom prst="curvedDownArrow">
                          <a:avLst/>
                        </a:prstGeom>
                        <a:solidFill>
                          <a:srgbClr val="FFC000">
                            <a:lumMod val="75000"/>
                          </a:srgbClr>
                        </a:solidFill>
                        <a:ln w="12700" cap="flat" cmpd="sng" algn="ctr">
                          <a:solidFill>
                            <a:srgbClr val="00FFFF"/>
                          </a:solidFill>
                          <a:prstDash val="solid"/>
                          <a:miter lim="800000"/>
                        </a:ln>
                        <a:effectLst/>
                      </wps:spPr>
                      <wps:bodyPr vertOverflow="clip" horzOverflow="clip" rtlCol="0" anchor="t"/>
                    </wps:wsp>
                  </a:graphicData>
                </a:graphic>
                <wp14:sizeRelH relativeFrom="margin">
                  <wp14:pctWidth>0</wp14:pctWidth>
                </wp14:sizeRelH>
                <wp14:sizeRelV relativeFrom="margin">
                  <wp14:pctHeight>0</wp14:pctHeight>
                </wp14:sizeRelV>
              </wp:anchor>
            </w:drawing>
          </mc:Choice>
          <mc:Fallback>
            <w:pict>
              <v:shape w14:anchorId="757756A4" id="Flecha curvada hacia abajo 2" o:spid="_x0000_s1026" type="#_x0000_t105" style="position:absolute;margin-left:61.4pt;margin-top:82.95pt;width:342.9pt;height:42pt;rotation:-1714389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" adj="20277,21269,16200" fillcolor="#bf9000" strokecolor="aqua" strokeweight="1pt">
                <w10:wrap anchorx="margin"/>
              </v:shape>
            </w:pict>
          </mc:Fallback>
        </mc:AlternateContent>
      </w:r>
      <w:r w:rsidRPr="007E01C5">
        <w:rPr>
          <w:rFonts w:eastAsia="Times New Roman"/>
          <w:noProof/>
          <w:sz w:val="20"/>
          <w:szCs w:val="20"/>
          <w:lang w:eastAsia="es-CO"/>
        </w:rPr>
        <w:drawing>
          <wp:inline distT="0" distB="0" distL="0" distR="0" wp14:anchorId="1F49B1A3" wp14:editId="69307C13">
            <wp:extent cx="5276850" cy="3095625"/>
            <wp:effectExtent l="0" t="0" r="0" b="9525"/>
            <wp:docPr id="27" name="Gráfico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B5E9A" w:rsidRDefault="006B5E9A"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6B5E9A" w:rsidRDefault="006B5E9A" w:rsidP="004662E1">
      <w:pPr>
        <w:spacing w:line="276" w:lineRule="auto"/>
        <w:jc w:val="both"/>
        <w:rPr>
          <w:rFonts w:ascii="Arial" w:eastAsia="Times New Roman" w:hAnsi="Arial" w:cs="Arial"/>
          <w:b/>
          <w:szCs w:val="24"/>
          <w:lang w:bidi="en-US"/>
        </w:rPr>
      </w:pPr>
    </w:p>
    <w:p w:rsidR="006B5E9A" w:rsidRDefault="006B5E9A" w:rsidP="004662E1">
      <w:pPr>
        <w:spacing w:line="276" w:lineRule="auto"/>
        <w:jc w:val="both"/>
        <w:rPr>
          <w:rFonts w:ascii="Arial" w:eastAsia="Times New Roman" w:hAnsi="Arial" w:cs="Arial"/>
          <w:b/>
          <w:szCs w:val="24"/>
          <w:lang w:bidi="en-US"/>
        </w:rPr>
      </w:pPr>
    </w:p>
    <w:p w:rsidR="004662E1" w:rsidRPr="007E01C5" w:rsidRDefault="004662E1" w:rsidP="004662E1">
      <w:pPr>
        <w:spacing w:line="276" w:lineRule="auto"/>
        <w:jc w:val="both"/>
        <w:rPr>
          <w:rFonts w:ascii="Arial" w:eastAsia="Times New Roman" w:hAnsi="Arial" w:cs="Arial"/>
          <w:b/>
          <w:szCs w:val="24"/>
          <w:lang w:bidi="en-US"/>
        </w:rPr>
      </w:pPr>
      <w:r w:rsidRPr="007E01C5">
        <w:rPr>
          <w:rFonts w:ascii="Arial" w:eastAsia="Times New Roman" w:hAnsi="Arial" w:cs="Arial"/>
          <w:b/>
          <w:szCs w:val="24"/>
          <w:lang w:bidi="en-US"/>
        </w:rPr>
        <w:t>ANÁLISIS GRÁFICO DEL HISTÓRICO DE LA INVERSIÓN 2008 AL 2015 PILAR 3:</w:t>
      </w:r>
    </w:p>
    <w:p w:rsidR="004662E1" w:rsidRPr="00907CF0" w:rsidRDefault="004662E1" w:rsidP="004662E1">
      <w:pPr>
        <w:spacing w:line="276" w:lineRule="auto"/>
        <w:jc w:val="both"/>
        <w:rPr>
          <w:rFonts w:ascii="Arial" w:eastAsia="Times New Roman" w:hAnsi="Arial" w:cs="Arial"/>
          <w:b/>
          <w:sz w:val="18"/>
          <w:szCs w:val="24"/>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7E01C5">
        <w:rPr>
          <w:rFonts w:ascii="Arial" w:eastAsia="Times New Roman" w:hAnsi="Arial" w:cs="Arial"/>
          <w:b/>
          <w:sz w:val="24"/>
          <w:szCs w:val="24"/>
          <w:lang w:bidi="en-US"/>
        </w:rPr>
        <w:t>Pilar 3.</w:t>
      </w:r>
      <w:r w:rsidRPr="007E01C5">
        <w:rPr>
          <w:rFonts w:ascii="Arial" w:eastAsia="Times New Roman" w:hAnsi="Arial" w:cs="Arial"/>
          <w:sz w:val="24"/>
          <w:szCs w:val="24"/>
          <w:lang w:bidi="en-US"/>
        </w:rPr>
        <w:t xml:space="preserve">  </w:t>
      </w:r>
      <w:r w:rsidRPr="007E01C5">
        <w:rPr>
          <w:rFonts w:ascii="Arial" w:eastAsia="Times New Roman" w:hAnsi="Arial" w:cs="Arial"/>
          <w:b/>
          <w:sz w:val="24"/>
          <w:szCs w:val="24"/>
          <w:lang w:bidi="en-US"/>
        </w:rPr>
        <w:t xml:space="preserve">Articulación con el Entorno </w:t>
      </w:r>
      <w:r w:rsidRPr="007E01C5">
        <w:rPr>
          <w:rFonts w:ascii="Arial" w:eastAsia="Times New Roman" w:hAnsi="Arial" w:cs="Arial"/>
          <w:sz w:val="24"/>
          <w:szCs w:val="24"/>
          <w:lang w:bidi="en-US"/>
        </w:rPr>
        <w:t xml:space="preserve">con este programa se logró una ejecución acumulada de $588 millones, destacándose el desarrollo de las Comunicaciones Institucionales con el programa </w:t>
      </w:r>
      <w:proofErr w:type="spellStart"/>
      <w:r w:rsidRPr="007E01C5">
        <w:rPr>
          <w:rFonts w:ascii="Arial" w:eastAsia="Times New Roman" w:hAnsi="Arial" w:cs="Arial"/>
          <w:sz w:val="24"/>
          <w:szCs w:val="24"/>
          <w:lang w:bidi="en-US"/>
        </w:rPr>
        <w:t>Uniquindío</w:t>
      </w:r>
      <w:proofErr w:type="spellEnd"/>
      <w:r w:rsidRPr="007E01C5">
        <w:rPr>
          <w:rFonts w:ascii="Arial" w:eastAsia="Times New Roman" w:hAnsi="Arial" w:cs="Arial"/>
          <w:sz w:val="24"/>
          <w:szCs w:val="24"/>
          <w:lang w:bidi="en-US"/>
        </w:rPr>
        <w:t xml:space="preserve"> en tu Colegio, Agencia Q y el proyecto de redes sociales. En el año 2010 se destaca la inversión realizada para promoción y divulgación de los 50 años de la Universidad del Quindío, donde se hizo una fuerte campaña a nivel local, regional y nacional.</w:t>
      </w:r>
    </w:p>
    <w:p w:rsidR="006B5E9A" w:rsidRDefault="006B5E9A">
      <w:pPr>
        <w:rPr>
          <w:rFonts w:ascii="Arial" w:eastAsia="Times New Roman" w:hAnsi="Arial" w:cs="Arial"/>
          <w:i/>
          <w:sz w:val="16"/>
          <w:szCs w:val="20"/>
          <w:lang w:bidi="en-US"/>
        </w:rPr>
      </w:pPr>
      <w:r>
        <w:rPr>
          <w:rFonts w:ascii="Arial" w:eastAsia="Times New Roman" w:hAnsi="Arial" w:cs="Arial"/>
          <w:i/>
          <w:sz w:val="16"/>
          <w:szCs w:val="20"/>
          <w:lang w:bidi="en-US"/>
        </w:rPr>
        <w:br w:type="page"/>
      </w:r>
    </w:p>
    <w:p w:rsidR="004662E1" w:rsidRPr="00907CF0" w:rsidRDefault="004662E1" w:rsidP="004662E1">
      <w:pPr>
        <w:jc w:val="center"/>
        <w:rPr>
          <w:rFonts w:ascii="Arial" w:eastAsia="Times New Roman" w:hAnsi="Arial" w:cs="Arial"/>
          <w:i/>
          <w:sz w:val="16"/>
          <w:szCs w:val="20"/>
          <w:lang w:bidi="en-US"/>
        </w:rPr>
      </w:pPr>
    </w:p>
    <w:p w:rsidR="004662E1" w:rsidRPr="007E01C5" w:rsidRDefault="004662E1" w:rsidP="004662E1">
      <w:pPr>
        <w:jc w:val="center"/>
        <w:rPr>
          <w:rFonts w:ascii="Arial" w:eastAsia="Times New Roman" w:hAnsi="Arial" w:cs="Arial"/>
          <w:i/>
          <w:sz w:val="20"/>
          <w:szCs w:val="20"/>
          <w:lang w:bidi="en-US"/>
        </w:rPr>
      </w:pPr>
      <w:bookmarkStart w:id="14" w:name="_Toc438487363"/>
      <w:r w:rsidRPr="007E01C5">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9</w:t>
      </w:r>
      <w:r w:rsidRPr="007E01C5">
        <w:rPr>
          <w:rFonts w:ascii="Arial" w:eastAsia="Times New Roman" w:hAnsi="Arial" w:cs="Arial"/>
          <w:i/>
          <w:sz w:val="20"/>
          <w:szCs w:val="20"/>
          <w:lang w:bidi="en-US"/>
        </w:rPr>
        <w:t xml:space="preserve"> – Inversión Anual Pilar 3 – Extensión y Relaciones con el Medio.</w:t>
      </w:r>
      <w:bookmarkEnd w:id="14"/>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907CF0" w:rsidRDefault="004662E1" w:rsidP="004662E1">
      <w:pPr>
        <w:jc w:val="both"/>
        <w:rPr>
          <w:rFonts w:ascii="Arial" w:eastAsia="Times New Roman" w:hAnsi="Arial" w:cs="Arial"/>
          <w:sz w:val="18"/>
          <w:szCs w:val="18"/>
          <w:lang w:bidi="en-US"/>
        </w:rPr>
      </w:pPr>
    </w:p>
    <w:p w:rsidR="004662E1" w:rsidRPr="007E01C5" w:rsidRDefault="004662E1" w:rsidP="004662E1">
      <w:pPr>
        <w:jc w:val="center"/>
        <w:rPr>
          <w:rFonts w:eastAsia="Times New Roman"/>
          <w:lang w:bidi="en-US"/>
        </w:rPr>
      </w:pPr>
      <w:r w:rsidRPr="007E01C5">
        <w:rPr>
          <w:rFonts w:eastAsia="Times New Roman"/>
          <w:noProof/>
          <w:sz w:val="20"/>
          <w:szCs w:val="20"/>
          <w:lang w:eastAsia="es-CO"/>
        </w:rPr>
        <w:drawing>
          <wp:inline distT="0" distB="0" distL="0" distR="0" wp14:anchorId="0414D825" wp14:editId="2EB4C4DB">
            <wp:extent cx="4905375" cy="2686050"/>
            <wp:effectExtent l="0" t="0" r="9525" b="0"/>
            <wp:docPr id="28" name="Gráfico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B5E9A" w:rsidRDefault="006B5E9A"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Default="004662E1" w:rsidP="004662E1">
      <w:pPr>
        <w:jc w:val="center"/>
        <w:rPr>
          <w:rFonts w:ascii="Arial" w:eastAsia="Times New Roman" w:hAnsi="Arial" w:cs="Arial"/>
          <w:i/>
          <w:sz w:val="20"/>
          <w:szCs w:val="20"/>
          <w:lang w:bidi="en-US"/>
        </w:rPr>
      </w:pPr>
    </w:p>
    <w:p w:rsidR="004662E1" w:rsidRDefault="004662E1" w:rsidP="004662E1">
      <w:pPr>
        <w:jc w:val="center"/>
        <w:rPr>
          <w:rFonts w:ascii="Arial" w:eastAsia="Times New Roman" w:hAnsi="Arial" w:cs="Arial"/>
          <w:i/>
          <w:sz w:val="20"/>
          <w:szCs w:val="20"/>
          <w:lang w:bidi="en-US"/>
        </w:rPr>
      </w:pPr>
    </w:p>
    <w:p w:rsidR="004662E1" w:rsidRPr="007E01C5" w:rsidRDefault="004662E1" w:rsidP="004662E1">
      <w:pPr>
        <w:jc w:val="center"/>
        <w:rPr>
          <w:rFonts w:ascii="Arial" w:eastAsia="Times New Roman" w:hAnsi="Arial" w:cs="Arial"/>
          <w:i/>
          <w:sz w:val="20"/>
          <w:szCs w:val="20"/>
          <w:lang w:bidi="en-US"/>
        </w:rPr>
      </w:pPr>
      <w:bookmarkStart w:id="15" w:name="_Toc438487364"/>
      <w:r w:rsidRPr="007E01C5">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10</w:t>
      </w:r>
      <w:r w:rsidRPr="007E01C5">
        <w:rPr>
          <w:rFonts w:ascii="Arial" w:eastAsia="Times New Roman" w:hAnsi="Arial" w:cs="Arial"/>
          <w:i/>
          <w:sz w:val="20"/>
          <w:szCs w:val="20"/>
          <w:lang w:bidi="en-US"/>
        </w:rPr>
        <w:t xml:space="preserve"> – Inversión Acumulada Pilar 3 – Extensión y Relaciones con el Medio</w:t>
      </w:r>
      <w:bookmarkEnd w:id="15"/>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907CF0" w:rsidRDefault="004662E1" w:rsidP="004662E1">
      <w:pPr>
        <w:tabs>
          <w:tab w:val="left" w:pos="1820"/>
        </w:tabs>
        <w:jc w:val="both"/>
        <w:rPr>
          <w:rFonts w:eastAsia="Times New Roman"/>
          <w:sz w:val="18"/>
          <w:szCs w:val="18"/>
          <w:lang w:bidi="en-US"/>
        </w:rPr>
      </w:pPr>
    </w:p>
    <w:p w:rsidR="004662E1" w:rsidRDefault="004662E1" w:rsidP="004662E1">
      <w:pPr>
        <w:jc w:val="center"/>
        <w:rPr>
          <w:rFonts w:eastAsia="Times New Roman"/>
          <w:sz w:val="20"/>
          <w:szCs w:val="20"/>
          <w:lang w:bidi="en-US"/>
        </w:rPr>
      </w:pPr>
      <w:r w:rsidRPr="007E01C5">
        <w:rPr>
          <w:rFonts w:eastAsia="Times New Roman"/>
          <w:noProof/>
          <w:sz w:val="20"/>
          <w:szCs w:val="20"/>
          <w:lang w:eastAsia="es-CO"/>
        </w:rPr>
        <mc:AlternateContent>
          <mc:Choice Requires="wps">
            <w:drawing>
              <wp:anchor distT="0" distB="0" distL="114300" distR="114300" simplePos="0" relativeHeight="251663360" behindDoc="0" locked="0" layoutInCell="1" allowOverlap="1" wp14:anchorId="67F0CEFC" wp14:editId="1C419A0D">
                <wp:simplePos x="0" y="0"/>
                <wp:positionH relativeFrom="column">
                  <wp:posOffset>676275</wp:posOffset>
                </wp:positionH>
                <wp:positionV relativeFrom="paragraph">
                  <wp:posOffset>1136649</wp:posOffset>
                </wp:positionV>
                <wp:extent cx="4359972" cy="622611"/>
                <wp:effectExtent l="0" t="514350" r="0" b="939800"/>
                <wp:wrapNone/>
                <wp:docPr id="9" name="Flecha curvada hacia abajo 2"/>
                <wp:cNvGraphicFramePr/>
                <a:graphic xmlns:a="http://schemas.openxmlformats.org/drawingml/2006/main">
                  <a:graphicData uri="http://schemas.microsoft.com/office/word/2010/wordprocessingShape">
                    <wps:wsp>
                      <wps:cNvSpPr/>
                      <wps:spPr>
                        <a:xfrm rot="20045269">
                          <a:off x="0" y="0"/>
                          <a:ext cx="4359972" cy="622611"/>
                        </a:xfrm>
                        <a:prstGeom prst="curvedDownArrow">
                          <a:avLst/>
                        </a:prstGeom>
                        <a:solidFill>
                          <a:srgbClr val="ED7D31"/>
                        </a:solidFill>
                        <a:ln w="12700" cap="flat" cmpd="sng" algn="ctr">
                          <a:solidFill>
                            <a:srgbClr val="FFFF00"/>
                          </a:solidFill>
                          <a:prstDash val="solid"/>
                          <a:miter lim="800000"/>
                        </a:ln>
                        <a:effectLst/>
                      </wps:spPr>
                      <wps:bodyPr vertOverflow="clip" horzOverflow="clip" rtlCol="0" anchor="t"/>
                    </wps:wsp>
                  </a:graphicData>
                </a:graphic>
                <wp14:sizeRelH relativeFrom="margin">
                  <wp14:pctWidth>0</wp14:pctWidth>
                </wp14:sizeRelH>
                <wp14:sizeRelV relativeFrom="margin">
                  <wp14:pctHeight>0</wp14:pctHeight>
                </wp14:sizeRelV>
              </wp:anchor>
            </w:drawing>
          </mc:Choice>
          <mc:Fallback>
            <w:pict>
              <v:shape w14:anchorId="1EFF0F17" id="Flecha curvada hacia abajo 2" o:spid="_x0000_s1026" type="#_x0000_t105" style="position:absolute;margin-left:53.25pt;margin-top:89.5pt;width:343.3pt;height:49pt;rotation:-1698181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" adj="20058,21215,16200" fillcolor="#ed7d31" strokecolor="yellow" strokeweight="1pt"/>
            </w:pict>
          </mc:Fallback>
        </mc:AlternateContent>
      </w:r>
      <w:r w:rsidRPr="007E01C5">
        <w:rPr>
          <w:rFonts w:eastAsia="Times New Roman"/>
          <w:noProof/>
          <w:sz w:val="20"/>
          <w:szCs w:val="20"/>
          <w:lang w:eastAsia="es-CO"/>
        </w:rPr>
        <w:drawing>
          <wp:inline distT="0" distB="0" distL="0" distR="0" wp14:anchorId="1BBFABE8" wp14:editId="2332AC30">
            <wp:extent cx="4933950" cy="3162300"/>
            <wp:effectExtent l="0" t="0" r="0" b="0"/>
            <wp:docPr id="29" name="Gráfico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662E1" w:rsidRPr="00907CF0" w:rsidRDefault="004662E1" w:rsidP="004662E1">
      <w:pPr>
        <w:rPr>
          <w:rFonts w:eastAsia="Times New Roman"/>
          <w:sz w:val="20"/>
          <w:szCs w:val="20"/>
          <w:lang w:bidi="en-US"/>
        </w:rPr>
      </w:pPr>
      <w:r w:rsidRPr="007E01C5">
        <w:rPr>
          <w:rFonts w:ascii="Arial" w:eastAsia="Times New Roman" w:hAnsi="Arial" w:cs="Arial"/>
          <w:i/>
          <w:sz w:val="20"/>
          <w:szCs w:val="20"/>
          <w:lang w:bidi="en-US"/>
        </w:rPr>
        <w:t>Fuente: Oficina Asesora Planeación y Desarrollo</w:t>
      </w:r>
    </w:p>
    <w:p w:rsidR="006B5E9A" w:rsidRDefault="006B5E9A" w:rsidP="004662E1">
      <w:pPr>
        <w:spacing w:line="276" w:lineRule="auto"/>
        <w:jc w:val="both"/>
        <w:rPr>
          <w:rFonts w:ascii="Arial" w:eastAsia="Times New Roman" w:hAnsi="Arial" w:cs="Arial"/>
          <w:b/>
          <w:szCs w:val="24"/>
          <w:lang w:bidi="en-US"/>
        </w:rPr>
      </w:pPr>
    </w:p>
    <w:p w:rsidR="006B5E9A" w:rsidRDefault="006B5E9A" w:rsidP="004662E1">
      <w:pPr>
        <w:spacing w:line="276" w:lineRule="auto"/>
        <w:jc w:val="both"/>
        <w:rPr>
          <w:rFonts w:ascii="Arial" w:eastAsia="Times New Roman" w:hAnsi="Arial" w:cs="Arial"/>
          <w:b/>
          <w:szCs w:val="24"/>
          <w:lang w:bidi="en-US"/>
        </w:rPr>
      </w:pPr>
    </w:p>
    <w:p w:rsidR="006B5E9A" w:rsidRDefault="006B5E9A" w:rsidP="004662E1">
      <w:pPr>
        <w:spacing w:line="276" w:lineRule="auto"/>
        <w:jc w:val="both"/>
        <w:rPr>
          <w:rFonts w:ascii="Arial" w:eastAsia="Times New Roman" w:hAnsi="Arial" w:cs="Arial"/>
          <w:b/>
          <w:szCs w:val="24"/>
          <w:lang w:bidi="en-US"/>
        </w:rPr>
      </w:pPr>
    </w:p>
    <w:p w:rsidR="004662E1" w:rsidRPr="007E01C5" w:rsidRDefault="004662E1" w:rsidP="004662E1">
      <w:pPr>
        <w:spacing w:line="276" w:lineRule="auto"/>
        <w:jc w:val="both"/>
        <w:rPr>
          <w:rFonts w:ascii="Arial" w:eastAsia="Times New Roman" w:hAnsi="Arial" w:cs="Arial"/>
          <w:b/>
          <w:szCs w:val="24"/>
          <w:lang w:bidi="en-US"/>
        </w:rPr>
      </w:pPr>
      <w:r w:rsidRPr="007E01C5">
        <w:rPr>
          <w:rFonts w:ascii="Arial" w:eastAsia="Times New Roman" w:hAnsi="Arial" w:cs="Arial"/>
          <w:b/>
          <w:szCs w:val="24"/>
          <w:lang w:bidi="en-US"/>
        </w:rPr>
        <w:lastRenderedPageBreak/>
        <w:t>ANÁLISIS GRÁFICO DEL HISTÓRICO DE LA INVERSIÓN 2008 AL 2015 PILAR 4:</w:t>
      </w:r>
    </w:p>
    <w:p w:rsidR="004662E1" w:rsidRPr="00223E19" w:rsidRDefault="004662E1" w:rsidP="004662E1">
      <w:pPr>
        <w:spacing w:line="276" w:lineRule="auto"/>
        <w:jc w:val="both"/>
        <w:rPr>
          <w:rFonts w:ascii="Arial" w:eastAsia="Times New Roman" w:hAnsi="Arial" w:cs="Arial"/>
          <w:b/>
          <w:sz w:val="20"/>
          <w:szCs w:val="24"/>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7E01C5">
        <w:rPr>
          <w:rFonts w:ascii="Arial" w:eastAsia="Times New Roman" w:hAnsi="Arial" w:cs="Arial"/>
          <w:b/>
          <w:sz w:val="24"/>
          <w:szCs w:val="24"/>
          <w:lang w:bidi="en-US"/>
        </w:rPr>
        <w:t xml:space="preserve">Pilar 4.  Fomento a la Internacionalización: </w:t>
      </w:r>
      <w:r w:rsidRPr="007E01C5">
        <w:rPr>
          <w:rFonts w:ascii="Arial" w:eastAsia="Times New Roman" w:hAnsi="Arial" w:cs="Arial"/>
          <w:sz w:val="24"/>
          <w:szCs w:val="24"/>
          <w:lang w:bidi="en-US"/>
        </w:rPr>
        <w:t>Se muestra una inversión acumulada de $561,5 millones de pesos, donde se destacan los programas de mo</w:t>
      </w:r>
      <w:r>
        <w:rPr>
          <w:rFonts w:ascii="Arial" w:eastAsia="Times New Roman" w:hAnsi="Arial" w:cs="Arial"/>
          <w:sz w:val="24"/>
          <w:szCs w:val="24"/>
          <w:lang w:bidi="en-US"/>
        </w:rPr>
        <w:t>da</w:t>
      </w:r>
      <w:r w:rsidRPr="007E01C5">
        <w:rPr>
          <w:rFonts w:ascii="Arial" w:eastAsia="Times New Roman" w:hAnsi="Arial" w:cs="Arial"/>
          <w:sz w:val="24"/>
          <w:szCs w:val="24"/>
          <w:lang w:bidi="en-US"/>
        </w:rPr>
        <w:t>lidad de estudiantes entrantes y salientes, además del apoyo de movilidad para profesores, redes internacionales, semana de la cultura extranjera, entre otros.</w:t>
      </w:r>
    </w:p>
    <w:p w:rsidR="004662E1" w:rsidRPr="00223E19" w:rsidRDefault="004662E1" w:rsidP="004662E1">
      <w:pPr>
        <w:jc w:val="center"/>
        <w:rPr>
          <w:rFonts w:ascii="Arial" w:eastAsia="Times New Roman" w:hAnsi="Arial" w:cs="Arial"/>
          <w:i/>
          <w:sz w:val="16"/>
          <w:szCs w:val="20"/>
          <w:lang w:bidi="en-US"/>
        </w:rPr>
      </w:pPr>
    </w:p>
    <w:p w:rsidR="004662E1" w:rsidRPr="007E01C5" w:rsidRDefault="004662E1" w:rsidP="004662E1">
      <w:pPr>
        <w:jc w:val="center"/>
        <w:rPr>
          <w:rFonts w:ascii="Arial" w:eastAsia="Times New Roman" w:hAnsi="Arial" w:cs="Arial"/>
          <w:i/>
          <w:sz w:val="20"/>
          <w:szCs w:val="20"/>
          <w:lang w:bidi="en-US"/>
        </w:rPr>
      </w:pPr>
      <w:bookmarkStart w:id="16" w:name="_Toc438487365"/>
      <w:r w:rsidRPr="007E01C5">
        <w:rPr>
          <w:rFonts w:ascii="Arial" w:eastAsia="Times New Roman" w:hAnsi="Arial" w:cs="Arial"/>
          <w:i/>
          <w:sz w:val="20"/>
          <w:szCs w:val="20"/>
          <w:lang w:bidi="en-US"/>
        </w:rPr>
        <w:t>Gráfica</w:t>
      </w:r>
      <w:r w:rsidR="006B5E9A">
        <w:rPr>
          <w:rFonts w:ascii="Arial" w:eastAsia="Times New Roman" w:hAnsi="Arial" w:cs="Arial"/>
          <w:i/>
          <w:sz w:val="20"/>
          <w:szCs w:val="20"/>
          <w:lang w:bidi="en-US"/>
        </w:rPr>
        <w:t>11</w:t>
      </w:r>
      <w:r w:rsidRPr="007E01C5">
        <w:rPr>
          <w:rFonts w:ascii="Arial" w:eastAsia="Times New Roman" w:hAnsi="Arial" w:cs="Arial"/>
          <w:i/>
          <w:sz w:val="20"/>
          <w:szCs w:val="20"/>
          <w:lang w:bidi="en-US"/>
        </w:rPr>
        <w:t xml:space="preserve"> – Inversión Anual Pilar 4 – Internacionalización</w:t>
      </w:r>
      <w:bookmarkEnd w:id="16"/>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223E19" w:rsidRDefault="004662E1" w:rsidP="004662E1">
      <w:pPr>
        <w:jc w:val="center"/>
        <w:rPr>
          <w:rFonts w:ascii="Arial" w:eastAsia="Times New Roman" w:hAnsi="Arial" w:cs="Arial"/>
          <w:i/>
          <w:sz w:val="16"/>
          <w:szCs w:val="20"/>
          <w:lang w:bidi="en-US"/>
        </w:rPr>
      </w:pPr>
    </w:p>
    <w:p w:rsidR="004662E1" w:rsidRPr="007E01C5" w:rsidRDefault="004662E1" w:rsidP="004662E1">
      <w:pPr>
        <w:spacing w:line="276" w:lineRule="auto"/>
        <w:jc w:val="center"/>
        <w:rPr>
          <w:rFonts w:ascii="Arial" w:eastAsia="Times New Roman" w:hAnsi="Arial" w:cs="Arial"/>
          <w:sz w:val="24"/>
          <w:szCs w:val="24"/>
          <w:lang w:bidi="en-US"/>
        </w:rPr>
      </w:pPr>
      <w:r w:rsidRPr="007E01C5">
        <w:rPr>
          <w:rFonts w:eastAsia="Times New Roman"/>
          <w:noProof/>
          <w:sz w:val="20"/>
          <w:szCs w:val="20"/>
          <w:lang w:eastAsia="es-CO"/>
        </w:rPr>
        <w:drawing>
          <wp:inline distT="0" distB="0" distL="0" distR="0" wp14:anchorId="6A047D29" wp14:editId="494271EC">
            <wp:extent cx="4638675" cy="2933700"/>
            <wp:effectExtent l="0" t="0" r="9525" b="0"/>
            <wp:docPr id="30" name="Gráfico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B5E9A" w:rsidRDefault="006B5E9A"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Pr="007E01C5" w:rsidRDefault="004662E1" w:rsidP="004662E1">
      <w:pPr>
        <w:spacing w:line="276" w:lineRule="auto"/>
        <w:jc w:val="center"/>
        <w:rPr>
          <w:rFonts w:ascii="Arial" w:eastAsia="Times New Roman" w:hAnsi="Arial" w:cs="Arial"/>
          <w:i/>
          <w:sz w:val="20"/>
          <w:szCs w:val="20"/>
          <w:lang w:bidi="en-US"/>
        </w:rPr>
      </w:pPr>
    </w:p>
    <w:p w:rsidR="006B5E9A" w:rsidRDefault="006B5E9A">
      <w:pPr>
        <w:rPr>
          <w:rFonts w:ascii="Arial" w:eastAsia="Times New Roman" w:hAnsi="Arial" w:cs="Arial"/>
          <w:i/>
          <w:sz w:val="20"/>
          <w:szCs w:val="20"/>
          <w:lang w:bidi="en-US"/>
        </w:rPr>
      </w:pPr>
      <w:bookmarkStart w:id="17" w:name="_Toc438487366"/>
      <w:r>
        <w:rPr>
          <w:rFonts w:ascii="Arial" w:eastAsia="Times New Roman" w:hAnsi="Arial" w:cs="Arial"/>
          <w:i/>
          <w:sz w:val="20"/>
          <w:szCs w:val="20"/>
          <w:lang w:bidi="en-US"/>
        </w:rPr>
        <w:br w:type="page"/>
      </w:r>
    </w:p>
    <w:p w:rsidR="004662E1" w:rsidRPr="007E01C5" w:rsidRDefault="004662E1" w:rsidP="004662E1">
      <w:pPr>
        <w:spacing w:line="276" w:lineRule="auto"/>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lastRenderedPageBreak/>
        <w:t xml:space="preserve">Gráfica </w:t>
      </w:r>
      <w:proofErr w:type="gramStart"/>
      <w:r w:rsidR="006B5E9A">
        <w:rPr>
          <w:rFonts w:ascii="Arial" w:eastAsia="Times New Roman" w:hAnsi="Arial" w:cs="Arial"/>
          <w:i/>
          <w:sz w:val="20"/>
          <w:szCs w:val="20"/>
          <w:lang w:bidi="en-US"/>
        </w:rPr>
        <w:t xml:space="preserve">12 </w:t>
      </w:r>
      <w:r w:rsidRPr="007E01C5">
        <w:rPr>
          <w:rFonts w:ascii="Arial" w:eastAsia="Times New Roman" w:hAnsi="Arial" w:cs="Arial"/>
          <w:i/>
          <w:sz w:val="20"/>
          <w:szCs w:val="20"/>
          <w:lang w:bidi="en-US"/>
        </w:rPr>
        <w:t xml:space="preserve"> –</w:t>
      </w:r>
      <w:proofErr w:type="gramEnd"/>
      <w:r w:rsidRPr="007E01C5">
        <w:rPr>
          <w:rFonts w:ascii="Arial" w:eastAsia="Times New Roman" w:hAnsi="Arial" w:cs="Arial"/>
          <w:i/>
          <w:sz w:val="20"/>
          <w:szCs w:val="20"/>
          <w:lang w:bidi="en-US"/>
        </w:rPr>
        <w:t xml:space="preserve"> Inversión Acumulada Pilar 4 – Internacionalización</w:t>
      </w:r>
      <w:bookmarkEnd w:id="17"/>
    </w:p>
    <w:p w:rsidR="004662E1" w:rsidRPr="007E01C5" w:rsidRDefault="004662E1" w:rsidP="004662E1">
      <w:pPr>
        <w:spacing w:line="276" w:lineRule="auto"/>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7E01C5" w:rsidRDefault="004662E1" w:rsidP="004662E1">
      <w:pPr>
        <w:spacing w:line="276" w:lineRule="auto"/>
        <w:jc w:val="center"/>
        <w:rPr>
          <w:rFonts w:ascii="Arial" w:eastAsia="Times New Roman" w:hAnsi="Arial" w:cs="Arial"/>
          <w:sz w:val="12"/>
          <w:szCs w:val="24"/>
          <w:lang w:bidi="en-US"/>
        </w:rPr>
      </w:pPr>
    </w:p>
    <w:p w:rsidR="004662E1" w:rsidRPr="007E01C5" w:rsidRDefault="004662E1" w:rsidP="004662E1">
      <w:pPr>
        <w:jc w:val="center"/>
        <w:rPr>
          <w:rFonts w:eastAsia="Times New Roman"/>
          <w:sz w:val="20"/>
          <w:szCs w:val="20"/>
          <w:lang w:bidi="en-US"/>
        </w:rPr>
      </w:pPr>
      <w:r w:rsidRPr="007E01C5">
        <w:rPr>
          <w:rFonts w:eastAsia="Times New Roman"/>
          <w:noProof/>
          <w:sz w:val="20"/>
          <w:szCs w:val="20"/>
          <w:lang w:eastAsia="es-CO"/>
        </w:rPr>
        <mc:AlternateContent>
          <mc:Choice Requires="wps">
            <w:drawing>
              <wp:anchor distT="0" distB="0" distL="114300" distR="114300" simplePos="0" relativeHeight="251664384" behindDoc="0" locked="0" layoutInCell="1" allowOverlap="1" wp14:anchorId="15195762" wp14:editId="083A0C9E">
                <wp:simplePos x="0" y="0"/>
                <wp:positionH relativeFrom="column">
                  <wp:posOffset>782319</wp:posOffset>
                </wp:positionH>
                <wp:positionV relativeFrom="paragraph">
                  <wp:posOffset>1073149</wp:posOffset>
                </wp:positionV>
                <wp:extent cx="4031336" cy="610517"/>
                <wp:effectExtent l="0" t="495300" r="0" b="932815"/>
                <wp:wrapNone/>
                <wp:docPr id="11" name="Flecha curvada hacia abajo 2"/>
                <wp:cNvGraphicFramePr/>
                <a:graphic xmlns:a="http://schemas.openxmlformats.org/drawingml/2006/main">
                  <a:graphicData uri="http://schemas.microsoft.com/office/word/2010/wordprocessingShape">
                    <wps:wsp>
                      <wps:cNvSpPr/>
                      <wps:spPr>
                        <a:xfrm rot="19921015">
                          <a:off x="0" y="0"/>
                          <a:ext cx="4031336" cy="610517"/>
                        </a:xfrm>
                        <a:prstGeom prst="curvedDownArrow">
                          <a:avLst/>
                        </a:prstGeom>
                        <a:solidFill>
                          <a:srgbClr val="7030A0"/>
                        </a:solidFill>
                        <a:ln w="12700" cap="flat" cmpd="sng" algn="ctr">
                          <a:solidFill>
                            <a:srgbClr val="00FF00"/>
                          </a:solidFill>
                          <a:prstDash val="solid"/>
                          <a:miter lim="800000"/>
                        </a:ln>
                        <a:effectLst/>
                      </wps:spPr>
                      <wps:bodyPr vertOverflow="clip" horzOverflow="clip" rtlCol="0" anchor="t"/>
                    </wps:wsp>
                  </a:graphicData>
                </a:graphic>
                <wp14:sizeRelH relativeFrom="margin">
                  <wp14:pctWidth>0</wp14:pctWidth>
                </wp14:sizeRelH>
                <wp14:sizeRelV relativeFrom="margin">
                  <wp14:pctHeight>0</wp14:pctHeight>
                </wp14:sizeRelV>
              </wp:anchor>
            </w:drawing>
          </mc:Choice>
          <mc:Fallback>
            <w:pict>
              <v:shape w14:anchorId="1EFE9739" id="Flecha curvada hacia abajo 2" o:spid="_x0000_s1026" type="#_x0000_t105" style="position:absolute;margin-left:61.6pt;margin-top:84.5pt;width:317.45pt;height:48.05pt;rotation:-1833899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" adj="19964,21191,16200" fillcolor="#7030a0" strokecolor="lime" strokeweight="1pt"/>
            </w:pict>
          </mc:Fallback>
        </mc:AlternateContent>
      </w:r>
      <w:r w:rsidRPr="007E01C5">
        <w:rPr>
          <w:rFonts w:eastAsia="Times New Roman"/>
          <w:noProof/>
          <w:sz w:val="20"/>
          <w:szCs w:val="20"/>
          <w:lang w:eastAsia="es-CO"/>
        </w:rPr>
        <w:drawing>
          <wp:inline distT="0" distB="0" distL="0" distR="0" wp14:anchorId="3602BDD9" wp14:editId="223A0D5E">
            <wp:extent cx="4838700" cy="3228975"/>
            <wp:effectExtent l="0" t="0" r="0" b="9525"/>
            <wp:docPr id="31" name="Gráfico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B5E9A" w:rsidRDefault="006B5E9A" w:rsidP="004662E1">
      <w:pPr>
        <w:jc w:val="both"/>
        <w:rPr>
          <w:rFonts w:ascii="Arial" w:eastAsia="Times New Roman" w:hAnsi="Arial" w:cs="Arial"/>
          <w:i/>
          <w:sz w:val="20"/>
          <w:szCs w:val="20"/>
          <w:lang w:bidi="en-US"/>
        </w:rPr>
      </w:pPr>
    </w:p>
    <w:p w:rsidR="006B5E9A" w:rsidRDefault="006B5E9A" w:rsidP="004662E1">
      <w:pPr>
        <w:jc w:val="both"/>
        <w:rPr>
          <w:rFonts w:ascii="Arial" w:eastAsia="Times New Roman" w:hAnsi="Arial" w:cs="Arial"/>
          <w:i/>
          <w:sz w:val="20"/>
          <w:szCs w:val="20"/>
          <w:lang w:bidi="en-US"/>
        </w:rPr>
      </w:pPr>
    </w:p>
    <w:p w:rsidR="006B5E9A" w:rsidRDefault="006B5E9A"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6B5E9A" w:rsidRDefault="006B5E9A" w:rsidP="004662E1">
      <w:pPr>
        <w:spacing w:line="276" w:lineRule="auto"/>
        <w:jc w:val="both"/>
        <w:rPr>
          <w:rFonts w:ascii="Arial" w:eastAsia="Times New Roman" w:hAnsi="Arial" w:cs="Arial"/>
          <w:b/>
          <w:szCs w:val="24"/>
          <w:lang w:bidi="en-US"/>
        </w:rPr>
      </w:pPr>
    </w:p>
    <w:p w:rsidR="006B5E9A" w:rsidRDefault="006B5E9A" w:rsidP="004662E1">
      <w:pPr>
        <w:spacing w:line="276" w:lineRule="auto"/>
        <w:jc w:val="both"/>
        <w:rPr>
          <w:rFonts w:ascii="Arial" w:eastAsia="Times New Roman" w:hAnsi="Arial" w:cs="Arial"/>
          <w:b/>
          <w:szCs w:val="24"/>
          <w:lang w:bidi="en-US"/>
        </w:rPr>
      </w:pPr>
    </w:p>
    <w:p w:rsidR="004662E1" w:rsidRPr="007E01C5" w:rsidRDefault="004662E1" w:rsidP="004662E1">
      <w:pPr>
        <w:spacing w:line="276" w:lineRule="auto"/>
        <w:jc w:val="both"/>
        <w:rPr>
          <w:rFonts w:ascii="Arial" w:eastAsia="Times New Roman" w:hAnsi="Arial" w:cs="Arial"/>
          <w:b/>
          <w:szCs w:val="24"/>
          <w:lang w:bidi="en-US"/>
        </w:rPr>
      </w:pPr>
      <w:r w:rsidRPr="007E01C5">
        <w:rPr>
          <w:rFonts w:ascii="Arial" w:eastAsia="Times New Roman" w:hAnsi="Arial" w:cs="Arial"/>
          <w:b/>
          <w:szCs w:val="24"/>
          <w:lang w:bidi="en-US"/>
        </w:rPr>
        <w:t>ANÁLISIS GRÁFICO DEL HISTÓRICO DE LA INVERSIÓN 2008 AL 2015 PILAR 5:</w:t>
      </w:r>
    </w:p>
    <w:p w:rsidR="004662E1" w:rsidRPr="00223E19" w:rsidRDefault="004662E1" w:rsidP="004662E1">
      <w:pPr>
        <w:spacing w:line="276" w:lineRule="auto"/>
        <w:jc w:val="both"/>
        <w:rPr>
          <w:rFonts w:ascii="Arial" w:eastAsia="Times New Roman" w:hAnsi="Arial" w:cs="Arial"/>
          <w:b/>
          <w:sz w:val="20"/>
          <w:szCs w:val="24"/>
          <w:lang w:bidi="en-US"/>
        </w:rPr>
      </w:pPr>
    </w:p>
    <w:p w:rsidR="004662E1" w:rsidRPr="007E01C5" w:rsidRDefault="004662E1" w:rsidP="004662E1">
      <w:pPr>
        <w:spacing w:line="276" w:lineRule="auto"/>
        <w:jc w:val="both"/>
        <w:rPr>
          <w:rFonts w:ascii="Arial" w:eastAsia="Times New Roman" w:hAnsi="Arial" w:cs="Arial"/>
          <w:sz w:val="20"/>
          <w:szCs w:val="20"/>
          <w:lang w:bidi="en-US"/>
        </w:rPr>
      </w:pPr>
      <w:r w:rsidRPr="007E01C5">
        <w:rPr>
          <w:rFonts w:ascii="Arial" w:eastAsia="Times New Roman" w:hAnsi="Arial" w:cs="Arial"/>
          <w:b/>
          <w:sz w:val="24"/>
          <w:szCs w:val="24"/>
          <w:lang w:bidi="en-US"/>
        </w:rPr>
        <w:t>Pilar 5.</w:t>
      </w:r>
      <w:r w:rsidRPr="007E01C5">
        <w:rPr>
          <w:rFonts w:ascii="Arial" w:eastAsia="Times New Roman" w:hAnsi="Arial" w:cs="Arial"/>
          <w:sz w:val="24"/>
          <w:szCs w:val="24"/>
          <w:lang w:bidi="en-US"/>
        </w:rPr>
        <w:t xml:space="preserve">  </w:t>
      </w:r>
      <w:r w:rsidRPr="007E01C5">
        <w:rPr>
          <w:rFonts w:ascii="Arial" w:eastAsia="Times New Roman" w:hAnsi="Arial" w:cs="Arial"/>
          <w:b/>
          <w:sz w:val="24"/>
          <w:szCs w:val="24"/>
          <w:lang w:bidi="en-US"/>
        </w:rPr>
        <w:t>Bie</w:t>
      </w:r>
      <w:r>
        <w:rPr>
          <w:rFonts w:ascii="Arial" w:eastAsia="Times New Roman" w:hAnsi="Arial" w:cs="Arial"/>
          <w:b/>
          <w:sz w:val="24"/>
          <w:szCs w:val="24"/>
          <w:lang w:bidi="en-US"/>
        </w:rPr>
        <w:t xml:space="preserve">nestar y Cultura </w:t>
      </w:r>
      <w:proofErr w:type="spellStart"/>
      <w:r>
        <w:rPr>
          <w:rFonts w:ascii="Arial" w:eastAsia="Times New Roman" w:hAnsi="Arial" w:cs="Arial"/>
          <w:b/>
          <w:sz w:val="24"/>
          <w:szCs w:val="24"/>
          <w:lang w:bidi="en-US"/>
        </w:rPr>
        <w:t>Uniquindiana</w:t>
      </w:r>
      <w:proofErr w:type="spellEnd"/>
      <w:r>
        <w:rPr>
          <w:rFonts w:ascii="Arial" w:eastAsia="Times New Roman" w:hAnsi="Arial" w:cs="Arial"/>
          <w:b/>
          <w:sz w:val="24"/>
          <w:szCs w:val="24"/>
          <w:lang w:bidi="en-US"/>
        </w:rPr>
        <w:t xml:space="preserve">. </w:t>
      </w:r>
      <w:r w:rsidRPr="007E01C5">
        <w:rPr>
          <w:rFonts w:ascii="Arial" w:eastAsia="Times New Roman" w:hAnsi="Arial" w:cs="Arial"/>
          <w:sz w:val="24"/>
          <w:szCs w:val="24"/>
          <w:lang w:bidi="en-US"/>
        </w:rPr>
        <w:t xml:space="preserve">Tuvo una inversión acumulada de $12.213 millones, donde se destacan los programas de movilidad de estudiantes, apoyos para estudiantes auxiliares en docencias y dependencias administrativas, apoyos en transporte y alimentación, proyecto de disminución de la tasa de deserción, programas culturales, salud preventiva y programas deportivos. </w:t>
      </w:r>
    </w:p>
    <w:p w:rsidR="004662E1" w:rsidRPr="00223E19" w:rsidRDefault="004662E1" w:rsidP="004662E1">
      <w:pPr>
        <w:jc w:val="both"/>
        <w:rPr>
          <w:rFonts w:eastAsia="Times New Roman"/>
          <w:sz w:val="18"/>
          <w:lang w:bidi="en-US"/>
        </w:rPr>
      </w:pPr>
    </w:p>
    <w:p w:rsidR="006B5E9A" w:rsidRDefault="006B5E9A">
      <w:pPr>
        <w:rPr>
          <w:rFonts w:ascii="Arial" w:eastAsia="Times New Roman" w:hAnsi="Arial" w:cs="Arial"/>
          <w:i/>
          <w:sz w:val="20"/>
          <w:szCs w:val="20"/>
          <w:lang w:bidi="en-US"/>
        </w:rPr>
      </w:pPr>
      <w:bookmarkStart w:id="18" w:name="_Toc438487367"/>
      <w:r>
        <w:rPr>
          <w:rFonts w:ascii="Arial" w:eastAsia="Times New Roman" w:hAnsi="Arial" w:cs="Arial"/>
          <w:i/>
          <w:sz w:val="20"/>
          <w:szCs w:val="20"/>
          <w:lang w:bidi="en-US"/>
        </w:rPr>
        <w:br w:type="page"/>
      </w:r>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lastRenderedPageBreak/>
        <w:t>Gráfica</w:t>
      </w:r>
      <w:r w:rsidR="006B5E9A">
        <w:rPr>
          <w:rFonts w:ascii="Arial" w:eastAsia="Times New Roman" w:hAnsi="Arial" w:cs="Arial"/>
          <w:i/>
          <w:sz w:val="20"/>
          <w:szCs w:val="20"/>
          <w:lang w:bidi="en-US"/>
        </w:rPr>
        <w:t xml:space="preserve">12 </w:t>
      </w:r>
      <w:r w:rsidRPr="007E01C5">
        <w:rPr>
          <w:rFonts w:ascii="Arial" w:eastAsia="Times New Roman" w:hAnsi="Arial" w:cs="Arial"/>
          <w:i/>
          <w:sz w:val="20"/>
          <w:szCs w:val="20"/>
          <w:lang w:bidi="en-US"/>
        </w:rPr>
        <w:t xml:space="preserve">– Inversión Anual Pilar 5 – Bienestar </w:t>
      </w:r>
      <w:proofErr w:type="spellStart"/>
      <w:r w:rsidRPr="007E01C5">
        <w:rPr>
          <w:rFonts w:ascii="Arial" w:eastAsia="Times New Roman" w:hAnsi="Arial" w:cs="Arial"/>
          <w:i/>
          <w:sz w:val="20"/>
          <w:szCs w:val="20"/>
          <w:lang w:bidi="en-US"/>
        </w:rPr>
        <w:t>Uniquindiano</w:t>
      </w:r>
      <w:bookmarkEnd w:id="18"/>
      <w:proofErr w:type="spellEnd"/>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7E01C5" w:rsidRDefault="004662E1" w:rsidP="004662E1">
      <w:pPr>
        <w:jc w:val="both"/>
        <w:rPr>
          <w:rFonts w:eastAsia="Times New Roman"/>
          <w:sz w:val="14"/>
          <w:lang w:bidi="en-US"/>
        </w:rPr>
      </w:pPr>
    </w:p>
    <w:p w:rsidR="004662E1" w:rsidRPr="007E01C5" w:rsidRDefault="004662E1" w:rsidP="004662E1">
      <w:pPr>
        <w:jc w:val="center"/>
        <w:rPr>
          <w:rFonts w:eastAsia="Times New Roman"/>
          <w:lang w:bidi="en-US"/>
        </w:rPr>
      </w:pPr>
      <w:r w:rsidRPr="007E01C5">
        <w:rPr>
          <w:rFonts w:eastAsia="Times New Roman"/>
          <w:noProof/>
          <w:sz w:val="20"/>
          <w:szCs w:val="20"/>
          <w:lang w:eastAsia="es-CO"/>
        </w:rPr>
        <w:drawing>
          <wp:inline distT="0" distB="0" distL="0" distR="0" wp14:anchorId="281F9954" wp14:editId="5F49FE9C">
            <wp:extent cx="5343525" cy="2857500"/>
            <wp:effectExtent l="0" t="0" r="9525" b="0"/>
            <wp:docPr id="32" name="Gráfico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B5E9A" w:rsidRDefault="006B5E9A"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Pr="00E25C2C" w:rsidRDefault="004662E1" w:rsidP="004662E1">
      <w:pPr>
        <w:spacing w:line="276" w:lineRule="auto"/>
        <w:jc w:val="center"/>
        <w:rPr>
          <w:rFonts w:ascii="Arial" w:eastAsia="Times New Roman" w:hAnsi="Arial" w:cs="Arial"/>
          <w:i/>
          <w:sz w:val="18"/>
          <w:szCs w:val="20"/>
          <w:lang w:bidi="en-US"/>
        </w:rPr>
      </w:pPr>
    </w:p>
    <w:p w:rsidR="004662E1" w:rsidRPr="007E01C5" w:rsidRDefault="004662E1" w:rsidP="004662E1">
      <w:pPr>
        <w:spacing w:line="276" w:lineRule="auto"/>
        <w:jc w:val="center"/>
        <w:rPr>
          <w:rFonts w:ascii="Arial" w:eastAsia="Times New Roman" w:hAnsi="Arial" w:cs="Arial"/>
          <w:i/>
          <w:sz w:val="20"/>
          <w:szCs w:val="20"/>
          <w:lang w:bidi="en-US"/>
        </w:rPr>
      </w:pPr>
      <w:bookmarkStart w:id="19" w:name="_Toc438487368"/>
      <w:r w:rsidRPr="007E01C5">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13</w:t>
      </w:r>
      <w:r w:rsidRPr="007E01C5">
        <w:rPr>
          <w:rFonts w:ascii="Arial" w:eastAsia="Times New Roman" w:hAnsi="Arial" w:cs="Arial"/>
          <w:i/>
          <w:sz w:val="20"/>
          <w:szCs w:val="20"/>
          <w:lang w:bidi="en-US"/>
        </w:rPr>
        <w:t xml:space="preserve"> – Inversión Acumulada Pilar 5 – Bienestar </w:t>
      </w:r>
      <w:proofErr w:type="spellStart"/>
      <w:r w:rsidRPr="007E01C5">
        <w:rPr>
          <w:rFonts w:ascii="Arial" w:eastAsia="Times New Roman" w:hAnsi="Arial" w:cs="Arial"/>
          <w:i/>
          <w:sz w:val="20"/>
          <w:szCs w:val="20"/>
          <w:lang w:bidi="en-US"/>
        </w:rPr>
        <w:t>Uniquindiano</w:t>
      </w:r>
      <w:bookmarkEnd w:id="19"/>
      <w:proofErr w:type="spellEnd"/>
    </w:p>
    <w:p w:rsidR="004662E1" w:rsidRPr="007E01C5" w:rsidRDefault="004662E1" w:rsidP="004662E1">
      <w:pPr>
        <w:spacing w:line="276" w:lineRule="auto"/>
        <w:jc w:val="center"/>
        <w:rPr>
          <w:rFonts w:ascii="Arial" w:eastAsia="Times New Roman" w:hAnsi="Arial" w:cs="Arial"/>
          <w:sz w:val="24"/>
          <w:szCs w:val="24"/>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7E01C5" w:rsidRDefault="004662E1" w:rsidP="004662E1">
      <w:pPr>
        <w:jc w:val="both"/>
        <w:rPr>
          <w:rFonts w:eastAsia="Times New Roman"/>
          <w:sz w:val="16"/>
          <w:lang w:bidi="en-US"/>
        </w:rPr>
      </w:pPr>
    </w:p>
    <w:p w:rsidR="004662E1" w:rsidRPr="007E01C5" w:rsidRDefault="004662E1" w:rsidP="004662E1">
      <w:pPr>
        <w:jc w:val="center"/>
        <w:rPr>
          <w:rFonts w:eastAsia="Times New Roman"/>
          <w:sz w:val="20"/>
          <w:szCs w:val="20"/>
          <w:lang w:bidi="en-US"/>
        </w:rPr>
      </w:pPr>
      <w:r w:rsidRPr="007E01C5">
        <w:rPr>
          <w:rFonts w:eastAsia="Times New Roman"/>
          <w:noProof/>
          <w:sz w:val="20"/>
          <w:szCs w:val="20"/>
          <w:lang w:eastAsia="es-CO"/>
        </w:rPr>
        <mc:AlternateContent>
          <mc:Choice Requires="wps">
            <w:drawing>
              <wp:anchor distT="0" distB="0" distL="114300" distR="114300" simplePos="0" relativeHeight="251665408" behindDoc="0" locked="0" layoutInCell="1" allowOverlap="1" wp14:anchorId="34B9915F" wp14:editId="4E0AB62A">
                <wp:simplePos x="0" y="0"/>
                <wp:positionH relativeFrom="column">
                  <wp:posOffset>792480</wp:posOffset>
                </wp:positionH>
                <wp:positionV relativeFrom="paragraph">
                  <wp:posOffset>1028065</wp:posOffset>
                </wp:positionV>
                <wp:extent cx="4291583" cy="596045"/>
                <wp:effectExtent l="0" t="457200" r="0" b="871220"/>
                <wp:wrapNone/>
                <wp:docPr id="13" name="Flecha curvada hacia abajo 2"/>
                <wp:cNvGraphicFramePr/>
                <a:graphic xmlns:a="http://schemas.openxmlformats.org/drawingml/2006/main">
                  <a:graphicData uri="http://schemas.microsoft.com/office/word/2010/wordprocessingShape">
                    <wps:wsp>
                      <wps:cNvSpPr/>
                      <wps:spPr>
                        <a:xfrm rot="20158850">
                          <a:off x="0" y="0"/>
                          <a:ext cx="4291583" cy="596045"/>
                        </a:xfrm>
                        <a:prstGeom prst="curvedDownArrow">
                          <a:avLst/>
                        </a:prstGeom>
                        <a:solidFill>
                          <a:srgbClr val="70AD47">
                            <a:lumMod val="75000"/>
                          </a:srgbClr>
                        </a:solidFill>
                        <a:ln w="12700" cap="flat" cmpd="sng" algn="ctr">
                          <a:solidFill>
                            <a:srgbClr val="FFFF00"/>
                          </a:solidFill>
                          <a:prstDash val="solid"/>
                          <a:miter lim="800000"/>
                        </a:ln>
                        <a:effectLst/>
                      </wps:spPr>
                      <wps:bodyPr vertOverflow="clip" horzOverflow="clip" rtlCol="0" anchor="t"/>
                    </wps:wsp>
                  </a:graphicData>
                </a:graphic>
                <wp14:sizeRelH relativeFrom="margin">
                  <wp14:pctWidth>0</wp14:pctWidth>
                </wp14:sizeRelH>
                <wp14:sizeRelV relativeFrom="margin">
                  <wp14:pctHeight>0</wp14:pctHeight>
                </wp14:sizeRelV>
              </wp:anchor>
            </w:drawing>
          </mc:Choice>
          <mc:Fallback>
            <w:pict>
              <v:shape w14:anchorId="27D7F7E4" id="Flecha curvada hacia abajo 2" o:spid="_x0000_s1026" type="#_x0000_t105" style="position:absolute;margin-left:62.4pt;margin-top:80.95pt;width:337.9pt;height:46.95pt;rotation:-1574120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" adj="20100,21225,16200" fillcolor="#548235" strokecolor="yellow" strokeweight="1pt"/>
            </w:pict>
          </mc:Fallback>
        </mc:AlternateContent>
      </w:r>
      <w:r w:rsidRPr="007E01C5">
        <w:rPr>
          <w:rFonts w:eastAsia="Times New Roman"/>
          <w:noProof/>
          <w:sz w:val="20"/>
          <w:szCs w:val="20"/>
          <w:lang w:eastAsia="es-CO"/>
        </w:rPr>
        <w:drawing>
          <wp:inline distT="0" distB="0" distL="0" distR="0" wp14:anchorId="0BFB3C22" wp14:editId="403E93C8">
            <wp:extent cx="5162550" cy="3048000"/>
            <wp:effectExtent l="0" t="0" r="0" b="0"/>
            <wp:docPr id="33" name="Gráfico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6B5E9A" w:rsidRDefault="006B5E9A">
      <w:pPr>
        <w:rPr>
          <w:rFonts w:ascii="Arial" w:eastAsia="Times New Roman" w:hAnsi="Arial" w:cs="Arial"/>
          <w:b/>
          <w:szCs w:val="24"/>
          <w:lang w:bidi="en-US"/>
        </w:rPr>
      </w:pPr>
      <w:r>
        <w:rPr>
          <w:rFonts w:ascii="Arial" w:eastAsia="Times New Roman" w:hAnsi="Arial" w:cs="Arial"/>
          <w:b/>
          <w:szCs w:val="24"/>
          <w:lang w:bidi="en-US"/>
        </w:rPr>
        <w:br w:type="page"/>
      </w:r>
    </w:p>
    <w:p w:rsidR="004662E1" w:rsidRPr="007E01C5" w:rsidRDefault="004662E1" w:rsidP="004662E1">
      <w:pPr>
        <w:spacing w:line="276" w:lineRule="auto"/>
        <w:jc w:val="both"/>
        <w:rPr>
          <w:rFonts w:ascii="Arial" w:eastAsia="Times New Roman" w:hAnsi="Arial" w:cs="Arial"/>
          <w:b/>
          <w:szCs w:val="24"/>
          <w:lang w:bidi="en-US"/>
        </w:rPr>
      </w:pPr>
      <w:r w:rsidRPr="007E01C5">
        <w:rPr>
          <w:rFonts w:ascii="Arial" w:eastAsia="Times New Roman" w:hAnsi="Arial" w:cs="Arial"/>
          <w:b/>
          <w:szCs w:val="24"/>
          <w:lang w:bidi="en-US"/>
        </w:rPr>
        <w:lastRenderedPageBreak/>
        <w:t>ANÁLISIS GRÁFICO DEL HISTÓRICO DE LA INVERSIÓN 2008 AL 2015 PILAR 6:</w:t>
      </w:r>
    </w:p>
    <w:p w:rsidR="004662E1" w:rsidRPr="00E25C2C" w:rsidRDefault="004662E1" w:rsidP="004662E1">
      <w:pPr>
        <w:spacing w:line="276" w:lineRule="auto"/>
        <w:jc w:val="both"/>
        <w:rPr>
          <w:rFonts w:ascii="Arial" w:eastAsia="Times New Roman" w:hAnsi="Arial" w:cs="Arial"/>
          <w:b/>
          <w:sz w:val="20"/>
          <w:szCs w:val="24"/>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7E01C5">
        <w:rPr>
          <w:rFonts w:ascii="Arial" w:eastAsia="Times New Roman" w:hAnsi="Arial" w:cs="Arial"/>
          <w:b/>
          <w:sz w:val="24"/>
          <w:szCs w:val="24"/>
          <w:lang w:bidi="en-US"/>
        </w:rPr>
        <w:t>Pilar 6.</w:t>
      </w:r>
      <w:r w:rsidRPr="007E01C5">
        <w:rPr>
          <w:rFonts w:ascii="Arial" w:eastAsia="Times New Roman" w:hAnsi="Arial" w:cs="Arial"/>
          <w:sz w:val="24"/>
          <w:szCs w:val="24"/>
          <w:lang w:bidi="en-US"/>
        </w:rPr>
        <w:t xml:space="preserve">  </w:t>
      </w:r>
      <w:r w:rsidRPr="007E01C5">
        <w:rPr>
          <w:rFonts w:ascii="Arial" w:eastAsia="Times New Roman" w:hAnsi="Arial" w:cs="Arial"/>
          <w:b/>
          <w:sz w:val="24"/>
          <w:szCs w:val="24"/>
          <w:lang w:bidi="en-US"/>
        </w:rPr>
        <w:t xml:space="preserve">Planeación y Desarrollo Administrativo. </w:t>
      </w:r>
      <w:r w:rsidRPr="007E01C5">
        <w:rPr>
          <w:rFonts w:ascii="Arial" w:eastAsia="Times New Roman" w:hAnsi="Arial" w:cs="Arial"/>
          <w:sz w:val="24"/>
          <w:szCs w:val="24"/>
          <w:lang w:bidi="en-US"/>
        </w:rPr>
        <w:t>Se presenta una inversión</w:t>
      </w:r>
      <w:r>
        <w:rPr>
          <w:rFonts w:ascii="Arial" w:eastAsia="Times New Roman" w:hAnsi="Arial" w:cs="Arial"/>
          <w:sz w:val="24"/>
          <w:szCs w:val="24"/>
          <w:lang w:bidi="en-US"/>
        </w:rPr>
        <w:t xml:space="preserve"> acumulada de $1.141 millones. </w:t>
      </w:r>
      <w:r w:rsidRPr="007E01C5">
        <w:rPr>
          <w:rFonts w:ascii="Arial" w:eastAsia="Times New Roman" w:hAnsi="Arial" w:cs="Arial"/>
          <w:sz w:val="24"/>
          <w:szCs w:val="24"/>
          <w:lang w:bidi="en-US"/>
        </w:rPr>
        <w:t>Se destaca la formación y capacitación del personal administrativo en su ejecución y los proyectos de modernización institucional, desarrollo e implementación del nuevo portal Web UQ y estudio prospectivo al 2035.</w:t>
      </w:r>
    </w:p>
    <w:p w:rsidR="004662E1" w:rsidRPr="00E25C2C" w:rsidRDefault="004662E1" w:rsidP="004662E1">
      <w:pPr>
        <w:jc w:val="center"/>
        <w:rPr>
          <w:rFonts w:ascii="Arial" w:eastAsia="Times New Roman" w:hAnsi="Arial" w:cs="Arial"/>
          <w:i/>
          <w:sz w:val="16"/>
          <w:szCs w:val="20"/>
          <w:lang w:bidi="en-US"/>
        </w:rPr>
      </w:pPr>
    </w:p>
    <w:p w:rsidR="004662E1" w:rsidRPr="007E01C5" w:rsidRDefault="004662E1" w:rsidP="004662E1">
      <w:pPr>
        <w:jc w:val="center"/>
        <w:rPr>
          <w:rFonts w:ascii="Arial" w:eastAsia="Times New Roman" w:hAnsi="Arial" w:cs="Arial"/>
          <w:i/>
          <w:sz w:val="20"/>
          <w:szCs w:val="20"/>
          <w:lang w:bidi="en-US"/>
        </w:rPr>
      </w:pPr>
      <w:bookmarkStart w:id="20" w:name="_Toc438487369"/>
      <w:r w:rsidRPr="007E01C5">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14</w:t>
      </w:r>
      <w:r w:rsidRPr="007E01C5">
        <w:rPr>
          <w:rFonts w:ascii="Arial" w:eastAsia="Times New Roman" w:hAnsi="Arial" w:cs="Arial"/>
          <w:i/>
          <w:sz w:val="20"/>
          <w:szCs w:val="20"/>
          <w:lang w:bidi="en-US"/>
        </w:rPr>
        <w:t xml:space="preserve"> – Inversión Anual Pilar 6 – Gestión y Desarrollo Institucional</w:t>
      </w:r>
      <w:bookmarkEnd w:id="20"/>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E25C2C" w:rsidRDefault="004662E1" w:rsidP="004662E1">
      <w:pPr>
        <w:jc w:val="both"/>
        <w:rPr>
          <w:rFonts w:eastAsia="Times New Roman"/>
          <w:sz w:val="16"/>
          <w:lang w:bidi="en-US"/>
        </w:rPr>
      </w:pPr>
    </w:p>
    <w:p w:rsidR="004662E1" w:rsidRPr="007E01C5" w:rsidRDefault="004662E1" w:rsidP="004662E1">
      <w:pPr>
        <w:jc w:val="center"/>
        <w:rPr>
          <w:rFonts w:eastAsia="Times New Roman"/>
          <w:lang w:bidi="en-US"/>
        </w:rPr>
      </w:pPr>
      <w:r w:rsidRPr="007E01C5">
        <w:rPr>
          <w:rFonts w:eastAsia="Times New Roman"/>
          <w:noProof/>
          <w:sz w:val="20"/>
          <w:szCs w:val="20"/>
          <w:lang w:eastAsia="es-CO"/>
        </w:rPr>
        <w:drawing>
          <wp:inline distT="0" distB="0" distL="0" distR="0" wp14:anchorId="3BB838AC" wp14:editId="2562F03C">
            <wp:extent cx="4638675" cy="3000375"/>
            <wp:effectExtent l="0" t="0" r="9525" b="9525"/>
            <wp:docPr id="34" name="Gráfico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Default="004662E1" w:rsidP="004662E1">
      <w:pPr>
        <w:spacing w:line="276" w:lineRule="auto"/>
        <w:jc w:val="center"/>
        <w:rPr>
          <w:rFonts w:ascii="Arial" w:eastAsia="Times New Roman" w:hAnsi="Arial" w:cs="Arial"/>
          <w:i/>
          <w:sz w:val="20"/>
          <w:szCs w:val="20"/>
          <w:lang w:bidi="en-US"/>
        </w:rPr>
      </w:pPr>
    </w:p>
    <w:p w:rsidR="006B5E9A" w:rsidRDefault="006B5E9A">
      <w:pPr>
        <w:rPr>
          <w:rFonts w:ascii="Arial" w:eastAsia="Times New Roman" w:hAnsi="Arial" w:cs="Arial"/>
          <w:i/>
          <w:sz w:val="20"/>
          <w:szCs w:val="20"/>
          <w:lang w:bidi="en-US"/>
        </w:rPr>
      </w:pPr>
      <w:bookmarkStart w:id="21" w:name="_Toc438487370"/>
      <w:r>
        <w:rPr>
          <w:rFonts w:ascii="Arial" w:eastAsia="Times New Roman" w:hAnsi="Arial" w:cs="Arial"/>
          <w:i/>
          <w:sz w:val="20"/>
          <w:szCs w:val="20"/>
          <w:lang w:bidi="en-US"/>
        </w:rPr>
        <w:br w:type="page"/>
      </w:r>
    </w:p>
    <w:p w:rsidR="004662E1" w:rsidRPr="007E01C5" w:rsidRDefault="004662E1" w:rsidP="004662E1">
      <w:pPr>
        <w:spacing w:line="276" w:lineRule="auto"/>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lastRenderedPageBreak/>
        <w:t xml:space="preserve">Gráfica </w:t>
      </w:r>
      <w:r w:rsidR="006B5E9A">
        <w:rPr>
          <w:rFonts w:ascii="Arial" w:eastAsia="Times New Roman" w:hAnsi="Arial" w:cs="Arial"/>
          <w:i/>
          <w:sz w:val="20"/>
          <w:szCs w:val="20"/>
          <w:lang w:bidi="en-US"/>
        </w:rPr>
        <w:t>15</w:t>
      </w:r>
      <w:r w:rsidRPr="007E01C5">
        <w:rPr>
          <w:rFonts w:ascii="Arial" w:eastAsia="Times New Roman" w:hAnsi="Arial" w:cs="Arial"/>
          <w:i/>
          <w:sz w:val="20"/>
          <w:szCs w:val="20"/>
          <w:lang w:bidi="en-US"/>
        </w:rPr>
        <w:t xml:space="preserve"> – Inversión Acumulada Pilar 6 – Gestión y Desarrollo Institucional</w:t>
      </w:r>
      <w:bookmarkEnd w:id="21"/>
    </w:p>
    <w:p w:rsidR="004662E1" w:rsidRPr="007E01C5" w:rsidRDefault="004662E1" w:rsidP="004662E1">
      <w:pPr>
        <w:spacing w:line="276" w:lineRule="auto"/>
        <w:jc w:val="center"/>
        <w:rPr>
          <w:rFonts w:ascii="Arial" w:eastAsia="Times New Roman" w:hAnsi="Arial" w:cs="Arial"/>
          <w:sz w:val="24"/>
          <w:szCs w:val="24"/>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223E19" w:rsidRDefault="004662E1" w:rsidP="004662E1">
      <w:pPr>
        <w:jc w:val="both"/>
        <w:rPr>
          <w:rFonts w:eastAsia="Times New Roman"/>
          <w:sz w:val="14"/>
          <w:lang w:bidi="en-US"/>
        </w:rPr>
      </w:pPr>
    </w:p>
    <w:p w:rsidR="004662E1" w:rsidRPr="007E01C5" w:rsidRDefault="004662E1" w:rsidP="004662E1">
      <w:pPr>
        <w:jc w:val="center"/>
        <w:rPr>
          <w:rFonts w:eastAsia="Times New Roman"/>
          <w:sz w:val="20"/>
          <w:szCs w:val="20"/>
          <w:lang w:bidi="en-US"/>
        </w:rPr>
      </w:pPr>
      <w:r w:rsidRPr="007E01C5">
        <w:rPr>
          <w:rFonts w:eastAsia="Times New Roman"/>
          <w:noProof/>
          <w:sz w:val="20"/>
          <w:szCs w:val="20"/>
          <w:lang w:eastAsia="es-CO"/>
        </w:rPr>
        <mc:AlternateContent>
          <mc:Choice Requires="wps">
            <w:drawing>
              <wp:anchor distT="0" distB="0" distL="114300" distR="114300" simplePos="0" relativeHeight="251666432" behindDoc="0" locked="0" layoutInCell="1" allowOverlap="1" wp14:anchorId="5FA6E7CA" wp14:editId="211720DA">
                <wp:simplePos x="0" y="0"/>
                <wp:positionH relativeFrom="column">
                  <wp:posOffset>838344</wp:posOffset>
                </wp:positionH>
                <wp:positionV relativeFrom="paragraph">
                  <wp:posOffset>1047335</wp:posOffset>
                </wp:positionV>
                <wp:extent cx="4267794" cy="673890"/>
                <wp:effectExtent l="0" t="419100" r="0" b="869315"/>
                <wp:wrapNone/>
                <wp:docPr id="14" name="Flecha curvada hacia abajo 2"/>
                <wp:cNvGraphicFramePr/>
                <a:graphic xmlns:a="http://schemas.openxmlformats.org/drawingml/2006/main">
                  <a:graphicData uri="http://schemas.microsoft.com/office/word/2010/wordprocessingShape">
                    <wps:wsp>
                      <wps:cNvSpPr/>
                      <wps:spPr>
                        <a:xfrm rot="20128491">
                          <a:off x="0" y="0"/>
                          <a:ext cx="4267794" cy="673890"/>
                        </a:xfrm>
                        <a:prstGeom prst="curvedDownArrow">
                          <a:avLst/>
                        </a:prstGeom>
                        <a:solidFill>
                          <a:srgbClr val="00FFFF"/>
                        </a:solidFill>
                        <a:ln w="12700" cap="flat" cmpd="sng" algn="ctr">
                          <a:solidFill>
                            <a:srgbClr val="ED7D31">
                              <a:lumMod val="75000"/>
                            </a:srgbClr>
                          </a:solidFill>
                          <a:prstDash val="solid"/>
                          <a:miter lim="800000"/>
                        </a:ln>
                        <a:effectLst/>
                      </wps:spPr>
                      <wps:bodyPr vertOverflow="clip" horzOverflow="clip" rtlCol="0" anchor="t"/>
                    </wps:wsp>
                  </a:graphicData>
                </a:graphic>
                <wp14:sizeRelH relativeFrom="margin">
                  <wp14:pctWidth>0</wp14:pctWidth>
                </wp14:sizeRelH>
                <wp14:sizeRelV relativeFrom="margin">
                  <wp14:pctHeight>0</wp14:pctHeight>
                </wp14:sizeRelV>
              </wp:anchor>
            </w:drawing>
          </mc:Choice>
          <mc:Fallback>
            <w:pict>
              <v:shape w14:anchorId="20E670C0" id="Flecha curvada hacia abajo 2" o:spid="_x0000_s1026" type="#_x0000_t105" style="position:absolute;margin-left:66pt;margin-top:82.45pt;width:336.05pt;height:53.05pt;rotation:-160728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" adj="19895,21174,16200" fillcolor="aqua" strokecolor="#c55a11" strokeweight="1pt"/>
            </w:pict>
          </mc:Fallback>
        </mc:AlternateContent>
      </w:r>
      <w:r w:rsidRPr="007E01C5">
        <w:rPr>
          <w:rFonts w:eastAsia="Times New Roman"/>
          <w:noProof/>
          <w:sz w:val="20"/>
          <w:szCs w:val="20"/>
          <w:lang w:eastAsia="es-CO"/>
        </w:rPr>
        <w:drawing>
          <wp:inline distT="0" distB="0" distL="0" distR="0" wp14:anchorId="0F541753" wp14:editId="280F939C">
            <wp:extent cx="4843145" cy="3124200"/>
            <wp:effectExtent l="0" t="0" r="14605" b="0"/>
            <wp:docPr id="35" name="Gráfico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662E1"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Default="004662E1"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p>
    <w:p w:rsidR="004662E1" w:rsidRPr="007E01C5" w:rsidRDefault="004662E1" w:rsidP="004662E1">
      <w:pPr>
        <w:spacing w:line="276" w:lineRule="auto"/>
        <w:jc w:val="both"/>
        <w:rPr>
          <w:rFonts w:ascii="Arial" w:eastAsia="Times New Roman" w:hAnsi="Arial" w:cs="Arial"/>
          <w:b/>
          <w:szCs w:val="24"/>
          <w:lang w:bidi="en-US"/>
        </w:rPr>
      </w:pPr>
      <w:r w:rsidRPr="007E01C5">
        <w:rPr>
          <w:rFonts w:ascii="Arial" w:eastAsia="Times New Roman" w:hAnsi="Arial" w:cs="Arial"/>
          <w:b/>
          <w:szCs w:val="24"/>
          <w:lang w:bidi="en-US"/>
        </w:rPr>
        <w:t>ANÁLISIS GRÁFICO DEL HISTÓRICO DE LA INVERSIÓN 2008 AL 2015 PILAR 7:</w:t>
      </w:r>
    </w:p>
    <w:p w:rsidR="004662E1" w:rsidRPr="00223E19" w:rsidRDefault="004662E1" w:rsidP="004662E1">
      <w:pPr>
        <w:spacing w:line="276" w:lineRule="auto"/>
        <w:jc w:val="both"/>
        <w:rPr>
          <w:rFonts w:ascii="Arial" w:eastAsia="Times New Roman" w:hAnsi="Arial" w:cs="Arial"/>
          <w:b/>
          <w:sz w:val="14"/>
          <w:szCs w:val="24"/>
          <w:lang w:bidi="en-US"/>
        </w:rPr>
      </w:pPr>
    </w:p>
    <w:p w:rsidR="004662E1" w:rsidRPr="007E01C5" w:rsidRDefault="004662E1" w:rsidP="004662E1">
      <w:pPr>
        <w:spacing w:line="276" w:lineRule="auto"/>
        <w:jc w:val="both"/>
        <w:rPr>
          <w:rFonts w:ascii="Arial" w:eastAsia="Times New Roman" w:hAnsi="Arial" w:cs="Arial"/>
          <w:sz w:val="24"/>
          <w:szCs w:val="24"/>
          <w:lang w:bidi="en-US"/>
        </w:rPr>
      </w:pPr>
      <w:r w:rsidRPr="007E01C5">
        <w:rPr>
          <w:rFonts w:ascii="Arial" w:eastAsia="Times New Roman" w:hAnsi="Arial" w:cs="Arial"/>
          <w:b/>
          <w:sz w:val="24"/>
          <w:szCs w:val="24"/>
          <w:lang w:bidi="en-US"/>
        </w:rPr>
        <w:t>Pilar 7.</w:t>
      </w:r>
      <w:r w:rsidRPr="007E01C5">
        <w:rPr>
          <w:rFonts w:ascii="Arial" w:eastAsia="Times New Roman" w:hAnsi="Arial" w:cs="Arial"/>
          <w:sz w:val="24"/>
          <w:szCs w:val="24"/>
          <w:lang w:bidi="en-US"/>
        </w:rPr>
        <w:t xml:space="preserve">  </w:t>
      </w:r>
      <w:r w:rsidRPr="007E01C5">
        <w:rPr>
          <w:rFonts w:ascii="Arial" w:eastAsia="Times New Roman" w:hAnsi="Arial" w:cs="Arial"/>
          <w:b/>
          <w:sz w:val="24"/>
          <w:szCs w:val="24"/>
          <w:lang w:bidi="en-US"/>
        </w:rPr>
        <w:t xml:space="preserve">Desarrollo Tecnológico </w:t>
      </w:r>
      <w:r w:rsidRPr="007E01C5">
        <w:rPr>
          <w:rFonts w:ascii="Arial" w:eastAsia="Times New Roman" w:hAnsi="Arial" w:cs="Arial"/>
          <w:sz w:val="24"/>
          <w:szCs w:val="24"/>
          <w:lang w:bidi="en-US"/>
        </w:rPr>
        <w:t>alcanzó una ejecución acumulada de $7.425 millones de pesos, en proyectos de mejoramiento tecnológico como la reposición y modernización de equipos de cómputo, equipos audiovisuales, servidores, redes inalámbricas y zonas Wifi, sistemas de protección firewall en el campus y centros tutoriales, el circuito cerrado de seguridad, programas y software, entre otros.</w:t>
      </w:r>
    </w:p>
    <w:p w:rsidR="004662E1" w:rsidRPr="00E25C2C" w:rsidRDefault="004662E1" w:rsidP="004662E1">
      <w:pPr>
        <w:rPr>
          <w:rFonts w:ascii="Arial" w:eastAsia="Times New Roman" w:hAnsi="Arial" w:cs="Arial"/>
          <w:i/>
          <w:sz w:val="14"/>
          <w:szCs w:val="20"/>
          <w:lang w:bidi="en-US"/>
        </w:rPr>
      </w:pPr>
    </w:p>
    <w:p w:rsidR="006B5E9A" w:rsidRDefault="006B5E9A">
      <w:pPr>
        <w:rPr>
          <w:rFonts w:ascii="Arial" w:eastAsia="Times New Roman" w:hAnsi="Arial" w:cs="Arial"/>
          <w:i/>
          <w:sz w:val="20"/>
          <w:szCs w:val="20"/>
          <w:lang w:bidi="en-US"/>
        </w:rPr>
      </w:pPr>
      <w:bookmarkStart w:id="22" w:name="_Toc438487371"/>
      <w:r>
        <w:rPr>
          <w:rFonts w:ascii="Arial" w:eastAsia="Times New Roman" w:hAnsi="Arial" w:cs="Arial"/>
          <w:i/>
          <w:sz w:val="20"/>
          <w:szCs w:val="20"/>
          <w:lang w:bidi="en-US"/>
        </w:rPr>
        <w:br w:type="page"/>
      </w:r>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lastRenderedPageBreak/>
        <w:t xml:space="preserve">Gráfica </w:t>
      </w:r>
      <w:r w:rsidR="006B5E9A">
        <w:rPr>
          <w:rFonts w:ascii="Arial" w:eastAsia="Times New Roman" w:hAnsi="Arial" w:cs="Arial"/>
          <w:i/>
          <w:sz w:val="20"/>
          <w:szCs w:val="20"/>
          <w:lang w:bidi="en-US"/>
        </w:rPr>
        <w:t>16</w:t>
      </w:r>
      <w:r w:rsidRPr="007E01C5">
        <w:rPr>
          <w:rFonts w:ascii="Arial" w:eastAsia="Times New Roman" w:hAnsi="Arial" w:cs="Arial"/>
          <w:i/>
          <w:sz w:val="20"/>
          <w:szCs w:val="20"/>
          <w:lang w:bidi="en-US"/>
        </w:rPr>
        <w:t xml:space="preserve"> – Inversión Anual Pilar 7– Desarrollo Tecnológico</w:t>
      </w:r>
      <w:bookmarkEnd w:id="22"/>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E25C2C" w:rsidRDefault="004662E1" w:rsidP="004662E1">
      <w:pPr>
        <w:jc w:val="both"/>
        <w:rPr>
          <w:rFonts w:eastAsia="Times New Roman"/>
          <w:sz w:val="14"/>
          <w:lang w:bidi="en-US"/>
        </w:rPr>
      </w:pPr>
    </w:p>
    <w:p w:rsidR="004662E1" w:rsidRPr="007E01C5" w:rsidRDefault="004662E1" w:rsidP="004662E1">
      <w:pPr>
        <w:jc w:val="center"/>
        <w:rPr>
          <w:rFonts w:eastAsia="Times New Roman"/>
          <w:lang w:bidi="en-US"/>
        </w:rPr>
      </w:pPr>
      <w:r w:rsidRPr="007E01C5">
        <w:rPr>
          <w:rFonts w:eastAsia="Times New Roman"/>
          <w:noProof/>
          <w:sz w:val="20"/>
          <w:szCs w:val="20"/>
          <w:lang w:eastAsia="es-CO"/>
        </w:rPr>
        <w:drawing>
          <wp:inline distT="0" distB="0" distL="0" distR="0" wp14:anchorId="789E93F2" wp14:editId="769EA7AB">
            <wp:extent cx="5629275" cy="3000375"/>
            <wp:effectExtent l="0" t="0" r="9525" b="9525"/>
            <wp:docPr id="36" name="Gráfico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B5E9A" w:rsidRDefault="006B5E9A" w:rsidP="004662E1">
      <w:pPr>
        <w:jc w:val="both"/>
        <w:rPr>
          <w:rFonts w:ascii="Arial" w:eastAsia="Times New Roman" w:hAnsi="Arial" w:cs="Arial"/>
          <w:i/>
          <w:sz w:val="20"/>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Pr="00E25C2C" w:rsidRDefault="004662E1" w:rsidP="004662E1">
      <w:pPr>
        <w:spacing w:line="276" w:lineRule="auto"/>
        <w:jc w:val="center"/>
        <w:rPr>
          <w:rFonts w:ascii="Arial" w:eastAsia="Times New Roman" w:hAnsi="Arial" w:cs="Arial"/>
          <w:i/>
          <w:sz w:val="14"/>
          <w:szCs w:val="20"/>
          <w:lang w:bidi="en-US"/>
        </w:rPr>
      </w:pPr>
    </w:p>
    <w:p w:rsidR="004662E1" w:rsidRPr="007E01C5" w:rsidRDefault="004662E1" w:rsidP="004662E1">
      <w:pPr>
        <w:spacing w:line="276" w:lineRule="auto"/>
        <w:jc w:val="center"/>
        <w:rPr>
          <w:rFonts w:ascii="Arial" w:eastAsia="Times New Roman" w:hAnsi="Arial" w:cs="Arial"/>
          <w:i/>
          <w:sz w:val="20"/>
          <w:szCs w:val="20"/>
          <w:lang w:bidi="en-US"/>
        </w:rPr>
      </w:pPr>
      <w:bookmarkStart w:id="23" w:name="_Toc438487372"/>
      <w:r w:rsidRPr="007E01C5">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17</w:t>
      </w:r>
      <w:r w:rsidRPr="007E01C5">
        <w:rPr>
          <w:rFonts w:ascii="Arial" w:eastAsia="Times New Roman" w:hAnsi="Arial" w:cs="Arial"/>
          <w:i/>
          <w:sz w:val="20"/>
          <w:szCs w:val="20"/>
          <w:lang w:bidi="en-US"/>
        </w:rPr>
        <w:t xml:space="preserve"> – Inversión Acumulada Pilar 7 – Desarrollo Tecnológico</w:t>
      </w:r>
      <w:bookmarkEnd w:id="23"/>
      <w:r w:rsidRPr="007E01C5">
        <w:rPr>
          <w:rFonts w:ascii="Arial" w:eastAsia="Times New Roman" w:hAnsi="Arial" w:cs="Arial"/>
          <w:i/>
          <w:sz w:val="20"/>
          <w:szCs w:val="20"/>
          <w:lang w:bidi="en-US"/>
        </w:rPr>
        <w:t xml:space="preserve"> </w:t>
      </w:r>
    </w:p>
    <w:p w:rsidR="004662E1" w:rsidRPr="007E01C5" w:rsidRDefault="004662E1" w:rsidP="004662E1">
      <w:pPr>
        <w:spacing w:line="276" w:lineRule="auto"/>
        <w:jc w:val="center"/>
        <w:rPr>
          <w:rFonts w:ascii="Arial" w:eastAsia="Times New Roman" w:hAnsi="Arial" w:cs="Arial"/>
          <w:sz w:val="24"/>
          <w:szCs w:val="24"/>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E25C2C" w:rsidRDefault="004662E1" w:rsidP="004662E1">
      <w:pPr>
        <w:jc w:val="both"/>
        <w:rPr>
          <w:rFonts w:eastAsia="Times New Roman"/>
          <w:sz w:val="14"/>
          <w:lang w:bidi="en-US"/>
        </w:rPr>
      </w:pPr>
    </w:p>
    <w:p w:rsidR="004662E1" w:rsidRPr="007E01C5" w:rsidRDefault="004662E1" w:rsidP="004662E1">
      <w:pPr>
        <w:jc w:val="center"/>
        <w:rPr>
          <w:rFonts w:eastAsia="Times New Roman"/>
          <w:sz w:val="20"/>
          <w:szCs w:val="20"/>
          <w:lang w:bidi="en-US"/>
        </w:rPr>
      </w:pPr>
      <w:r w:rsidRPr="007E01C5">
        <w:rPr>
          <w:rFonts w:eastAsia="Times New Roman"/>
          <w:noProof/>
          <w:sz w:val="20"/>
          <w:szCs w:val="20"/>
          <w:lang w:eastAsia="es-CO"/>
        </w:rPr>
        <mc:AlternateContent>
          <mc:Choice Requires="wps">
            <w:drawing>
              <wp:anchor distT="0" distB="0" distL="114300" distR="114300" simplePos="0" relativeHeight="251667456" behindDoc="0" locked="0" layoutInCell="1" allowOverlap="1" wp14:anchorId="3F933598" wp14:editId="0D7BE668">
                <wp:simplePos x="0" y="0"/>
                <wp:positionH relativeFrom="column">
                  <wp:posOffset>803910</wp:posOffset>
                </wp:positionH>
                <wp:positionV relativeFrom="paragraph">
                  <wp:posOffset>951865</wp:posOffset>
                </wp:positionV>
                <wp:extent cx="4315908" cy="631945"/>
                <wp:effectExtent l="0" t="495300" r="0" b="930275"/>
                <wp:wrapNone/>
                <wp:docPr id="16" name="Flecha curvada hacia abajo 2"/>
                <wp:cNvGraphicFramePr/>
                <a:graphic xmlns:a="http://schemas.openxmlformats.org/drawingml/2006/main">
                  <a:graphicData uri="http://schemas.microsoft.com/office/word/2010/wordprocessingShape">
                    <wps:wsp>
                      <wps:cNvSpPr/>
                      <wps:spPr>
                        <a:xfrm rot="20040335">
                          <a:off x="0" y="0"/>
                          <a:ext cx="4315908" cy="631945"/>
                        </a:xfrm>
                        <a:prstGeom prst="curvedDownArrow">
                          <a:avLst/>
                        </a:prstGeom>
                        <a:solidFill>
                          <a:srgbClr val="008080"/>
                        </a:solidFill>
                        <a:ln w="12700" cap="flat" cmpd="sng" algn="ctr">
                          <a:solidFill>
                            <a:srgbClr val="FFFF00"/>
                          </a:solidFill>
                          <a:prstDash val="solid"/>
                          <a:miter lim="800000"/>
                        </a:ln>
                        <a:effectLst/>
                      </wps:spPr>
                      <wps:bodyPr vertOverflow="clip" horzOverflow="clip" rtlCol="0" anchor="t"/>
                    </wps:wsp>
                  </a:graphicData>
                </a:graphic>
                <wp14:sizeRelH relativeFrom="margin">
                  <wp14:pctWidth>0</wp14:pctWidth>
                </wp14:sizeRelH>
                <wp14:sizeRelV relativeFrom="margin">
                  <wp14:pctHeight>0</wp14:pctHeight>
                </wp14:sizeRelV>
              </wp:anchor>
            </w:drawing>
          </mc:Choice>
          <mc:Fallback>
            <w:pict>
              <v:shape w14:anchorId="222C252A" id="Flecha curvada hacia abajo 2" o:spid="_x0000_s1026" type="#_x0000_t105" style="position:absolute;margin-left:63.3pt;margin-top:74.95pt;width:339.85pt;height:49.75pt;rotation:-1703570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" adj="20019,21205,16200" fillcolor="teal" strokecolor="yellow" strokeweight="1pt"/>
            </w:pict>
          </mc:Fallback>
        </mc:AlternateContent>
      </w:r>
      <w:r w:rsidRPr="007E01C5">
        <w:rPr>
          <w:rFonts w:eastAsia="Times New Roman"/>
          <w:noProof/>
          <w:sz w:val="20"/>
          <w:szCs w:val="20"/>
          <w:lang w:eastAsia="es-CO"/>
        </w:rPr>
        <w:drawing>
          <wp:inline distT="0" distB="0" distL="0" distR="0" wp14:anchorId="6542E39E" wp14:editId="52231B4F">
            <wp:extent cx="5743575" cy="3086100"/>
            <wp:effectExtent l="0" t="0" r="9525" b="0"/>
            <wp:docPr id="37" name="Gráfico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4662E1"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6B5E9A" w:rsidRDefault="006B5E9A">
      <w:pPr>
        <w:rPr>
          <w:rFonts w:ascii="Arial" w:eastAsia="Times New Roman" w:hAnsi="Arial" w:cs="Arial"/>
          <w:b/>
          <w:szCs w:val="24"/>
          <w:lang w:bidi="en-US"/>
        </w:rPr>
      </w:pPr>
      <w:r>
        <w:rPr>
          <w:rFonts w:ascii="Arial" w:eastAsia="Times New Roman" w:hAnsi="Arial" w:cs="Arial"/>
          <w:b/>
          <w:szCs w:val="24"/>
          <w:lang w:bidi="en-US"/>
        </w:rPr>
        <w:br w:type="page"/>
      </w:r>
    </w:p>
    <w:p w:rsidR="004662E1" w:rsidRPr="007E01C5" w:rsidRDefault="004662E1" w:rsidP="004662E1">
      <w:pPr>
        <w:spacing w:line="276" w:lineRule="auto"/>
        <w:jc w:val="both"/>
        <w:rPr>
          <w:rFonts w:ascii="Arial" w:eastAsia="Times New Roman" w:hAnsi="Arial" w:cs="Arial"/>
          <w:b/>
          <w:szCs w:val="24"/>
          <w:lang w:bidi="en-US"/>
        </w:rPr>
      </w:pPr>
      <w:r w:rsidRPr="007E01C5">
        <w:rPr>
          <w:rFonts w:ascii="Arial" w:eastAsia="Times New Roman" w:hAnsi="Arial" w:cs="Arial"/>
          <w:b/>
          <w:szCs w:val="24"/>
          <w:lang w:bidi="en-US"/>
        </w:rPr>
        <w:lastRenderedPageBreak/>
        <w:t>ANÁLISIS GRÁFICO DEL HISTÓRICO DE LA INVERSIÓN 2008 AL 2015 PILAR 8:</w:t>
      </w:r>
    </w:p>
    <w:p w:rsidR="004662E1" w:rsidRPr="00EF2AA8" w:rsidRDefault="004662E1" w:rsidP="004662E1">
      <w:pPr>
        <w:jc w:val="both"/>
        <w:rPr>
          <w:rFonts w:ascii="Arial" w:eastAsia="Times New Roman" w:hAnsi="Arial" w:cs="Arial"/>
          <w:b/>
          <w:sz w:val="20"/>
          <w:szCs w:val="24"/>
          <w:lang w:bidi="en-US"/>
        </w:rPr>
      </w:pPr>
    </w:p>
    <w:p w:rsidR="004662E1" w:rsidRPr="007E01C5" w:rsidRDefault="004662E1" w:rsidP="004662E1">
      <w:pPr>
        <w:jc w:val="both"/>
        <w:rPr>
          <w:rFonts w:ascii="Arial" w:eastAsia="Times New Roman" w:hAnsi="Arial" w:cs="Arial"/>
          <w:sz w:val="24"/>
          <w:szCs w:val="24"/>
          <w:lang w:bidi="en-US"/>
        </w:rPr>
      </w:pPr>
      <w:r w:rsidRPr="007E01C5">
        <w:rPr>
          <w:rFonts w:ascii="Arial" w:eastAsia="Times New Roman" w:hAnsi="Arial" w:cs="Arial"/>
          <w:b/>
          <w:sz w:val="24"/>
          <w:szCs w:val="24"/>
          <w:lang w:bidi="en-US"/>
        </w:rPr>
        <w:t>Pilar 8.</w:t>
      </w:r>
      <w:r w:rsidRPr="007E01C5">
        <w:rPr>
          <w:rFonts w:ascii="Arial" w:eastAsia="Times New Roman" w:hAnsi="Arial" w:cs="Arial"/>
          <w:sz w:val="24"/>
          <w:szCs w:val="24"/>
          <w:lang w:bidi="en-US"/>
        </w:rPr>
        <w:t xml:space="preserve">  </w:t>
      </w:r>
      <w:r w:rsidRPr="007E01C5">
        <w:rPr>
          <w:rFonts w:ascii="Arial" w:eastAsia="Times New Roman" w:hAnsi="Arial" w:cs="Arial"/>
          <w:b/>
          <w:sz w:val="24"/>
          <w:szCs w:val="24"/>
          <w:lang w:bidi="en-US"/>
        </w:rPr>
        <w:t xml:space="preserve">Infraestructura Física del Campus. </w:t>
      </w:r>
      <w:r w:rsidRPr="007E01C5">
        <w:rPr>
          <w:rFonts w:ascii="Arial" w:eastAsia="Times New Roman" w:hAnsi="Arial" w:cs="Arial"/>
          <w:sz w:val="24"/>
          <w:szCs w:val="24"/>
          <w:lang w:bidi="en-US"/>
        </w:rPr>
        <w:t>Se destaca la construcción del “Edificio 50 años”, así como diferentes espacios para los estudiantes.  Se tiene una inversión acumulada de $ 25.707 millones.</w:t>
      </w:r>
    </w:p>
    <w:p w:rsidR="004662E1" w:rsidRPr="00EF2AA8" w:rsidRDefault="004662E1" w:rsidP="004662E1">
      <w:pPr>
        <w:jc w:val="center"/>
        <w:rPr>
          <w:rFonts w:ascii="Arial" w:eastAsia="Times New Roman" w:hAnsi="Arial" w:cs="Arial"/>
          <w:i/>
          <w:sz w:val="16"/>
          <w:szCs w:val="20"/>
          <w:lang w:bidi="en-US"/>
        </w:rPr>
      </w:pPr>
    </w:p>
    <w:p w:rsidR="004662E1" w:rsidRPr="007E01C5" w:rsidRDefault="004662E1" w:rsidP="004662E1">
      <w:pPr>
        <w:jc w:val="center"/>
        <w:rPr>
          <w:rFonts w:ascii="Arial" w:eastAsia="Times New Roman" w:hAnsi="Arial" w:cs="Arial"/>
          <w:i/>
          <w:sz w:val="20"/>
          <w:szCs w:val="20"/>
          <w:lang w:bidi="en-US"/>
        </w:rPr>
      </w:pPr>
      <w:bookmarkStart w:id="24" w:name="_Toc438487373"/>
      <w:r w:rsidRPr="007E01C5">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18</w:t>
      </w:r>
      <w:r w:rsidRPr="007E01C5">
        <w:rPr>
          <w:rFonts w:ascii="Arial" w:eastAsia="Times New Roman" w:hAnsi="Arial" w:cs="Arial"/>
          <w:i/>
          <w:sz w:val="20"/>
          <w:szCs w:val="20"/>
          <w:lang w:bidi="en-US"/>
        </w:rPr>
        <w:t xml:space="preserve"> – Inversión Anual Pilar 8– Infraestructura Física y Dotación</w:t>
      </w:r>
      <w:bookmarkEnd w:id="24"/>
    </w:p>
    <w:p w:rsidR="004662E1" w:rsidRPr="007E01C5" w:rsidRDefault="004662E1" w:rsidP="004662E1">
      <w:pPr>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p w:rsidR="004662E1" w:rsidRPr="00EF2AA8" w:rsidRDefault="004662E1" w:rsidP="004662E1">
      <w:pPr>
        <w:jc w:val="both"/>
        <w:rPr>
          <w:rFonts w:ascii="Arial" w:eastAsia="Times New Roman" w:hAnsi="Arial" w:cs="Arial"/>
          <w:sz w:val="16"/>
          <w:szCs w:val="24"/>
          <w:lang w:bidi="en-US"/>
        </w:rPr>
      </w:pPr>
    </w:p>
    <w:p w:rsidR="004662E1" w:rsidRPr="007E01C5" w:rsidRDefault="004662E1" w:rsidP="004662E1">
      <w:pPr>
        <w:jc w:val="center"/>
        <w:rPr>
          <w:rFonts w:ascii="Arial" w:eastAsia="Times New Roman" w:hAnsi="Arial" w:cs="Arial"/>
          <w:sz w:val="24"/>
          <w:szCs w:val="24"/>
          <w:lang w:bidi="en-US"/>
        </w:rPr>
      </w:pPr>
      <w:r w:rsidRPr="007E01C5">
        <w:rPr>
          <w:rFonts w:eastAsia="Times New Roman"/>
          <w:noProof/>
          <w:sz w:val="20"/>
          <w:szCs w:val="20"/>
          <w:lang w:eastAsia="es-CO"/>
        </w:rPr>
        <w:drawing>
          <wp:inline distT="0" distB="0" distL="0" distR="0" wp14:anchorId="27DB89A8" wp14:editId="2C3CB159">
            <wp:extent cx="4991100" cy="3314700"/>
            <wp:effectExtent l="0" t="0" r="0" b="0"/>
            <wp:docPr id="38" name="Gráfico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4662E1" w:rsidRPr="00EF2AA8" w:rsidRDefault="004662E1" w:rsidP="004662E1">
      <w:pPr>
        <w:spacing w:line="276" w:lineRule="auto"/>
        <w:jc w:val="center"/>
        <w:rPr>
          <w:rFonts w:ascii="Arial" w:eastAsia="Times New Roman" w:hAnsi="Arial" w:cs="Arial"/>
          <w:i/>
          <w:sz w:val="16"/>
          <w:szCs w:val="20"/>
          <w:lang w:bidi="en-US"/>
        </w:rPr>
      </w:pPr>
    </w:p>
    <w:p w:rsidR="006B5E9A" w:rsidRDefault="006B5E9A">
      <w:pPr>
        <w:rPr>
          <w:rFonts w:ascii="Arial" w:eastAsia="Times New Roman" w:hAnsi="Arial" w:cs="Arial"/>
          <w:i/>
          <w:sz w:val="20"/>
          <w:szCs w:val="20"/>
          <w:lang w:bidi="en-US"/>
        </w:rPr>
      </w:pPr>
      <w:bookmarkStart w:id="25" w:name="_Toc438487374"/>
      <w:r>
        <w:rPr>
          <w:rFonts w:ascii="Arial" w:eastAsia="Times New Roman" w:hAnsi="Arial" w:cs="Arial"/>
          <w:i/>
          <w:sz w:val="20"/>
          <w:szCs w:val="20"/>
          <w:lang w:bidi="en-US"/>
        </w:rPr>
        <w:br w:type="page"/>
      </w:r>
    </w:p>
    <w:p w:rsidR="004662E1" w:rsidRPr="007E01C5" w:rsidRDefault="004662E1" w:rsidP="004662E1">
      <w:pPr>
        <w:spacing w:line="276" w:lineRule="auto"/>
        <w:jc w:val="center"/>
        <w:rPr>
          <w:rFonts w:ascii="Arial" w:eastAsia="Times New Roman" w:hAnsi="Arial" w:cs="Arial"/>
          <w:i/>
          <w:sz w:val="20"/>
          <w:szCs w:val="20"/>
          <w:lang w:bidi="en-US"/>
        </w:rPr>
      </w:pPr>
      <w:r w:rsidRPr="007E01C5">
        <w:rPr>
          <w:rFonts w:ascii="Arial" w:eastAsia="Times New Roman" w:hAnsi="Arial" w:cs="Arial"/>
          <w:i/>
          <w:sz w:val="20"/>
          <w:szCs w:val="20"/>
          <w:lang w:bidi="en-US"/>
        </w:rPr>
        <w:lastRenderedPageBreak/>
        <w:t xml:space="preserve">Gráfica </w:t>
      </w:r>
      <w:r w:rsidR="006B5E9A">
        <w:rPr>
          <w:rFonts w:ascii="Arial" w:eastAsia="Times New Roman" w:hAnsi="Arial" w:cs="Arial"/>
          <w:i/>
          <w:sz w:val="20"/>
          <w:szCs w:val="20"/>
          <w:lang w:bidi="en-US"/>
        </w:rPr>
        <w:t>19</w:t>
      </w:r>
      <w:r w:rsidRPr="007E01C5">
        <w:rPr>
          <w:rFonts w:ascii="Arial" w:eastAsia="Times New Roman" w:hAnsi="Arial" w:cs="Arial"/>
          <w:i/>
          <w:sz w:val="20"/>
          <w:szCs w:val="20"/>
          <w:lang w:bidi="en-US"/>
        </w:rPr>
        <w:t xml:space="preserve"> – Inversión Acumulada Pilar 8 – Infraestructura Física y Dotación</w:t>
      </w:r>
      <w:bookmarkEnd w:id="25"/>
    </w:p>
    <w:p w:rsidR="004662E1" w:rsidRPr="007E01C5" w:rsidRDefault="004662E1" w:rsidP="004662E1">
      <w:pPr>
        <w:spacing w:line="276" w:lineRule="auto"/>
        <w:jc w:val="center"/>
        <w:rPr>
          <w:rFonts w:ascii="Arial" w:eastAsia="Times New Roman" w:hAnsi="Arial" w:cs="Arial"/>
          <w:sz w:val="24"/>
          <w:szCs w:val="24"/>
          <w:lang w:bidi="en-US"/>
        </w:rPr>
      </w:pPr>
      <w:r w:rsidRPr="007E01C5">
        <w:rPr>
          <w:rFonts w:ascii="Arial" w:eastAsia="Times New Roman" w:hAnsi="Arial" w:cs="Arial"/>
          <w:i/>
          <w:sz w:val="20"/>
          <w:szCs w:val="20"/>
          <w:lang w:bidi="en-US"/>
        </w:rPr>
        <w:t xml:space="preserve">(Corte 07 </w:t>
      </w:r>
      <w:proofErr w:type="gramStart"/>
      <w:r w:rsidRPr="007E01C5">
        <w:rPr>
          <w:rFonts w:ascii="Arial" w:eastAsia="Times New Roman" w:hAnsi="Arial" w:cs="Arial"/>
          <w:i/>
          <w:sz w:val="20"/>
          <w:szCs w:val="20"/>
          <w:lang w:bidi="en-US"/>
        </w:rPr>
        <w:t>Diciembre</w:t>
      </w:r>
      <w:proofErr w:type="gramEnd"/>
      <w:r w:rsidRPr="007E01C5">
        <w:rPr>
          <w:rFonts w:ascii="Arial" w:eastAsia="Times New Roman" w:hAnsi="Arial" w:cs="Arial"/>
          <w:i/>
          <w:sz w:val="20"/>
          <w:szCs w:val="20"/>
          <w:lang w:bidi="en-US"/>
        </w:rPr>
        <w:t xml:space="preserve"> de 2015)</w:t>
      </w:r>
    </w:p>
    <w:bookmarkEnd w:id="1"/>
    <w:p w:rsidR="004662E1" w:rsidRPr="00EF2AA8" w:rsidRDefault="004662E1" w:rsidP="004662E1">
      <w:pPr>
        <w:jc w:val="both"/>
        <w:rPr>
          <w:rFonts w:ascii="Arial" w:eastAsia="Times New Roman" w:hAnsi="Arial" w:cs="Arial"/>
          <w:sz w:val="14"/>
          <w:szCs w:val="20"/>
          <w:lang w:bidi="en-US"/>
        </w:rPr>
      </w:pPr>
    </w:p>
    <w:p w:rsidR="004662E1" w:rsidRPr="007E01C5" w:rsidRDefault="004662E1" w:rsidP="004662E1">
      <w:pPr>
        <w:jc w:val="center"/>
        <w:rPr>
          <w:rFonts w:eastAsia="Times New Roman"/>
          <w:sz w:val="20"/>
          <w:szCs w:val="20"/>
          <w:lang w:bidi="en-US"/>
        </w:rPr>
      </w:pPr>
      <w:r w:rsidRPr="007E01C5">
        <w:rPr>
          <w:rFonts w:eastAsia="Times New Roman"/>
          <w:noProof/>
          <w:sz w:val="20"/>
          <w:szCs w:val="20"/>
          <w:lang w:eastAsia="es-CO"/>
        </w:rPr>
        <mc:AlternateContent>
          <mc:Choice Requires="wps">
            <w:drawing>
              <wp:anchor distT="0" distB="0" distL="114300" distR="114300" simplePos="0" relativeHeight="251668480" behindDoc="0" locked="0" layoutInCell="1" allowOverlap="1" wp14:anchorId="39C07C8E" wp14:editId="287725C9">
                <wp:simplePos x="0" y="0"/>
                <wp:positionH relativeFrom="column">
                  <wp:posOffset>842645</wp:posOffset>
                </wp:positionH>
                <wp:positionV relativeFrom="paragraph">
                  <wp:posOffset>1123315</wp:posOffset>
                </wp:positionV>
                <wp:extent cx="4213794" cy="657939"/>
                <wp:effectExtent l="0" t="476250" r="0" b="942340"/>
                <wp:wrapNone/>
                <wp:docPr id="17" name="Flecha curvada hacia abajo 2"/>
                <wp:cNvGraphicFramePr/>
                <a:graphic xmlns:a="http://schemas.openxmlformats.org/drawingml/2006/main">
                  <a:graphicData uri="http://schemas.microsoft.com/office/word/2010/wordprocessingShape">
                    <wps:wsp>
                      <wps:cNvSpPr/>
                      <wps:spPr>
                        <a:xfrm rot="19993073">
                          <a:off x="0" y="0"/>
                          <a:ext cx="4213794" cy="657939"/>
                        </a:xfrm>
                        <a:prstGeom prst="curvedDownArrow">
                          <a:avLst/>
                        </a:prstGeom>
                        <a:solidFill>
                          <a:srgbClr val="663300"/>
                        </a:solidFill>
                        <a:ln w="12700" cap="flat" cmpd="sng" algn="ctr">
                          <a:solidFill>
                            <a:srgbClr val="00FFFF"/>
                          </a:solidFill>
                          <a:prstDash val="solid"/>
                          <a:miter lim="800000"/>
                        </a:ln>
                        <a:effectLst/>
                      </wps:spPr>
                      <wps:bodyPr vertOverflow="clip" horzOverflow="clip" rtlCol="0" anchor="t"/>
                    </wps:wsp>
                  </a:graphicData>
                </a:graphic>
                <wp14:sizeRelH relativeFrom="margin">
                  <wp14:pctWidth>0</wp14:pctWidth>
                </wp14:sizeRelH>
                <wp14:sizeRelV relativeFrom="margin">
                  <wp14:pctHeight>0</wp14:pctHeight>
                </wp14:sizeRelV>
              </wp:anchor>
            </w:drawing>
          </mc:Choice>
          <mc:Fallback>
            <w:pict>
              <v:shape w14:anchorId="60D3C078" id="Flecha curvada hacia abajo 2" o:spid="_x0000_s1026" type="#_x0000_t105" style="position:absolute;margin-left:66.35pt;margin-top:88.45pt;width:331.8pt;height:51.8pt;rotation:-1755193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" adj="19914,21179,16200" fillcolor="#630" strokecolor="aqua" strokeweight="1pt"/>
            </w:pict>
          </mc:Fallback>
        </mc:AlternateContent>
      </w:r>
      <w:r w:rsidRPr="007E01C5">
        <w:rPr>
          <w:rFonts w:eastAsia="Times New Roman"/>
          <w:noProof/>
          <w:sz w:val="20"/>
          <w:szCs w:val="20"/>
          <w:lang w:eastAsia="es-CO"/>
        </w:rPr>
        <w:drawing>
          <wp:inline distT="0" distB="0" distL="0" distR="0" wp14:anchorId="7DF14D75" wp14:editId="2D357F9C">
            <wp:extent cx="4848225" cy="3276600"/>
            <wp:effectExtent l="0" t="0" r="9525" b="0"/>
            <wp:docPr id="39" name="Gráfico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4662E1" w:rsidRPr="00EF2AA8" w:rsidRDefault="004662E1" w:rsidP="004662E1">
      <w:pPr>
        <w:jc w:val="both"/>
        <w:rPr>
          <w:rFonts w:ascii="Arial" w:eastAsia="Times New Roman" w:hAnsi="Arial" w:cs="Arial"/>
          <w:sz w:val="16"/>
          <w:szCs w:val="20"/>
          <w:lang w:bidi="en-US"/>
        </w:rPr>
      </w:pPr>
    </w:p>
    <w:p w:rsidR="004662E1" w:rsidRPr="007E01C5" w:rsidRDefault="004662E1" w:rsidP="004662E1">
      <w:pPr>
        <w:jc w:val="both"/>
        <w:rPr>
          <w:rFonts w:ascii="Arial" w:eastAsia="Times New Roman" w:hAnsi="Arial" w:cs="Arial"/>
          <w:i/>
          <w:sz w:val="20"/>
          <w:szCs w:val="20"/>
          <w:lang w:bidi="en-US"/>
        </w:rPr>
      </w:pPr>
      <w:r w:rsidRPr="007E01C5">
        <w:rPr>
          <w:rFonts w:ascii="Arial" w:eastAsia="Times New Roman" w:hAnsi="Arial" w:cs="Arial"/>
          <w:i/>
          <w:sz w:val="20"/>
          <w:szCs w:val="20"/>
          <w:lang w:bidi="en-US"/>
        </w:rPr>
        <w:t>Fuente: Oficina Asesora Planeación y Desarrollo</w:t>
      </w:r>
    </w:p>
    <w:p w:rsidR="006B5E9A" w:rsidRDefault="006B5E9A" w:rsidP="004662E1">
      <w:pPr>
        <w:keepNext/>
        <w:autoSpaceDE w:val="0"/>
        <w:autoSpaceDN w:val="0"/>
        <w:adjustRightInd w:val="0"/>
        <w:outlineLvl w:val="2"/>
        <w:rPr>
          <w:rFonts w:ascii="Arial" w:eastAsia="Times New Roman" w:hAnsi="Arial" w:cs="Arial"/>
          <w:b/>
          <w:color w:val="000000"/>
          <w:sz w:val="24"/>
          <w:szCs w:val="24"/>
          <w:lang w:bidi="en-US"/>
        </w:rPr>
      </w:pPr>
      <w:bookmarkStart w:id="26" w:name="_Toc372539265"/>
      <w:bookmarkStart w:id="27" w:name="_Toc438542336"/>
    </w:p>
    <w:bookmarkEnd w:id="26"/>
    <w:p w:rsidR="006B5E9A" w:rsidRDefault="006B5E9A" w:rsidP="004662E1">
      <w:pPr>
        <w:keepNext/>
        <w:autoSpaceDE w:val="0"/>
        <w:autoSpaceDN w:val="0"/>
        <w:adjustRightInd w:val="0"/>
        <w:outlineLvl w:val="2"/>
        <w:rPr>
          <w:rFonts w:ascii="Arial" w:eastAsia="Times New Roman" w:hAnsi="Arial" w:cs="Arial"/>
          <w:b/>
          <w:color w:val="000000"/>
          <w:sz w:val="24"/>
          <w:szCs w:val="24"/>
          <w:lang w:bidi="en-US"/>
        </w:rPr>
      </w:pPr>
    </w:p>
    <w:p w:rsidR="006B5E9A" w:rsidRDefault="006B5E9A">
      <w:pPr>
        <w:rPr>
          <w:rFonts w:ascii="Arial" w:eastAsia="Times New Roman" w:hAnsi="Arial" w:cs="Arial"/>
          <w:b/>
          <w:color w:val="000000"/>
          <w:sz w:val="24"/>
          <w:szCs w:val="24"/>
          <w:lang w:bidi="en-US"/>
        </w:rPr>
      </w:pPr>
      <w:r>
        <w:rPr>
          <w:rFonts w:ascii="Arial" w:eastAsia="Times New Roman" w:hAnsi="Arial" w:cs="Arial"/>
          <w:b/>
          <w:color w:val="000000"/>
          <w:sz w:val="24"/>
          <w:szCs w:val="24"/>
          <w:lang w:bidi="en-US"/>
        </w:rPr>
        <w:br w:type="page"/>
      </w:r>
    </w:p>
    <w:p w:rsidR="004662E1" w:rsidRPr="00EF2AA8" w:rsidRDefault="004662E1" w:rsidP="004662E1">
      <w:pPr>
        <w:keepNext/>
        <w:autoSpaceDE w:val="0"/>
        <w:autoSpaceDN w:val="0"/>
        <w:adjustRightInd w:val="0"/>
        <w:outlineLvl w:val="2"/>
        <w:rPr>
          <w:rFonts w:ascii="Arial" w:eastAsia="Times New Roman" w:hAnsi="Arial" w:cs="Arial"/>
          <w:b/>
          <w:color w:val="000000"/>
          <w:sz w:val="24"/>
          <w:szCs w:val="24"/>
          <w:lang w:bidi="en-US"/>
        </w:rPr>
      </w:pPr>
      <w:r w:rsidRPr="00EF2AA8">
        <w:rPr>
          <w:rFonts w:ascii="Arial" w:eastAsia="Times New Roman" w:hAnsi="Arial" w:cs="Arial"/>
          <w:b/>
          <w:color w:val="000000"/>
          <w:sz w:val="24"/>
          <w:szCs w:val="24"/>
          <w:lang w:bidi="en-US"/>
        </w:rPr>
        <w:lastRenderedPageBreak/>
        <w:t>INDICADORES FINANCIEROS 2011 – 2015</w:t>
      </w:r>
      <w:bookmarkEnd w:id="27"/>
    </w:p>
    <w:p w:rsidR="004662E1" w:rsidRPr="00EF2AA8" w:rsidRDefault="004662E1" w:rsidP="004662E1">
      <w:pPr>
        <w:spacing w:after="200" w:line="276" w:lineRule="auto"/>
        <w:jc w:val="both"/>
        <w:rPr>
          <w:rFonts w:eastAsia="Times New Roman"/>
          <w:sz w:val="20"/>
          <w:szCs w:val="20"/>
          <w:lang w:bidi="en-US"/>
        </w:rPr>
      </w:pPr>
    </w:p>
    <w:p w:rsidR="004662E1" w:rsidRPr="00EF2AA8" w:rsidRDefault="004662E1" w:rsidP="004662E1">
      <w:pPr>
        <w:spacing w:line="276" w:lineRule="auto"/>
        <w:jc w:val="both"/>
        <w:rPr>
          <w:rFonts w:ascii="Arial" w:eastAsia="Times New Roman" w:hAnsi="Arial" w:cs="Arial"/>
          <w:sz w:val="24"/>
          <w:szCs w:val="24"/>
          <w:lang w:bidi="en-US"/>
        </w:rPr>
      </w:pPr>
      <w:r w:rsidRPr="00EF2AA8">
        <w:rPr>
          <w:rFonts w:ascii="Arial" w:eastAsia="Times New Roman" w:hAnsi="Arial" w:cs="Arial"/>
          <w:sz w:val="24"/>
          <w:szCs w:val="24"/>
          <w:lang w:bidi="en-US"/>
        </w:rPr>
        <w:t>A continuación se muestran los indicadores financieros y su comporta</w:t>
      </w:r>
      <w:r>
        <w:rPr>
          <w:rFonts w:ascii="Arial" w:eastAsia="Times New Roman" w:hAnsi="Arial" w:cs="Arial"/>
          <w:sz w:val="24"/>
          <w:szCs w:val="24"/>
          <w:lang w:bidi="en-US"/>
        </w:rPr>
        <w:t>miento en el periodo 2011- 2015</w:t>
      </w:r>
      <w:r w:rsidRPr="00EF2AA8">
        <w:rPr>
          <w:rFonts w:ascii="Arial" w:eastAsia="Times New Roman" w:hAnsi="Arial" w:cs="Arial"/>
          <w:sz w:val="24"/>
          <w:szCs w:val="24"/>
          <w:lang w:bidi="en-US"/>
        </w:rPr>
        <w:t>.</w:t>
      </w:r>
    </w:p>
    <w:p w:rsidR="004662E1" w:rsidRPr="00EF2AA8" w:rsidRDefault="004662E1" w:rsidP="004662E1">
      <w:pPr>
        <w:spacing w:line="276" w:lineRule="auto"/>
        <w:jc w:val="both"/>
        <w:rPr>
          <w:rFonts w:ascii="Arial" w:eastAsia="Times New Roman" w:hAnsi="Arial" w:cs="Arial"/>
          <w:sz w:val="24"/>
          <w:szCs w:val="24"/>
          <w:lang w:bidi="en-US"/>
        </w:rPr>
      </w:pPr>
    </w:p>
    <w:p w:rsidR="004662E1" w:rsidRPr="00EF2AA8" w:rsidRDefault="004662E1" w:rsidP="004662E1">
      <w:pPr>
        <w:spacing w:line="276" w:lineRule="auto"/>
        <w:jc w:val="center"/>
        <w:rPr>
          <w:rFonts w:ascii="Arial" w:eastAsia="Times New Roman" w:hAnsi="Arial" w:cs="Arial"/>
          <w:i/>
          <w:sz w:val="18"/>
          <w:szCs w:val="18"/>
          <w:lang w:bidi="en-US"/>
        </w:rPr>
      </w:pPr>
      <w:bookmarkStart w:id="28" w:name="_Toc438487407"/>
      <w:r w:rsidRPr="00EF2AA8">
        <w:rPr>
          <w:rFonts w:ascii="Arial" w:eastAsia="Times New Roman" w:hAnsi="Arial" w:cs="Arial"/>
          <w:i/>
          <w:sz w:val="18"/>
          <w:szCs w:val="18"/>
          <w:lang w:bidi="en-US"/>
        </w:rPr>
        <w:t xml:space="preserve">Tabla No. </w:t>
      </w:r>
      <w:proofErr w:type="gramStart"/>
      <w:r w:rsidR="006B5E9A">
        <w:rPr>
          <w:rFonts w:ascii="Arial" w:eastAsia="Times New Roman" w:hAnsi="Arial" w:cs="Arial"/>
          <w:i/>
          <w:sz w:val="18"/>
          <w:szCs w:val="18"/>
          <w:lang w:bidi="en-US"/>
        </w:rPr>
        <w:t>4</w:t>
      </w:r>
      <w:r w:rsidRPr="00EF2AA8">
        <w:rPr>
          <w:rFonts w:ascii="Arial" w:eastAsia="Times New Roman" w:hAnsi="Arial" w:cs="Arial"/>
          <w:i/>
          <w:sz w:val="18"/>
          <w:szCs w:val="18"/>
          <w:lang w:bidi="en-US"/>
        </w:rPr>
        <w:t xml:space="preserve">  Indicadores</w:t>
      </w:r>
      <w:proofErr w:type="gramEnd"/>
      <w:r w:rsidRPr="00EF2AA8">
        <w:rPr>
          <w:rFonts w:ascii="Arial" w:eastAsia="Times New Roman" w:hAnsi="Arial" w:cs="Arial"/>
          <w:i/>
          <w:sz w:val="18"/>
          <w:szCs w:val="18"/>
          <w:lang w:bidi="en-US"/>
        </w:rPr>
        <w:t xml:space="preserve"> Financieros 2011 – 2015 Proyectado</w:t>
      </w:r>
      <w:bookmarkEnd w:id="28"/>
    </w:p>
    <w:p w:rsidR="004662E1" w:rsidRPr="00EF2AA8" w:rsidRDefault="004662E1" w:rsidP="004662E1">
      <w:pPr>
        <w:jc w:val="center"/>
        <w:rPr>
          <w:rFonts w:ascii="Arial" w:eastAsia="Times New Roman" w:hAnsi="Arial" w:cs="Arial"/>
          <w:i/>
          <w:sz w:val="18"/>
          <w:szCs w:val="18"/>
          <w:lang w:bidi="en-US"/>
        </w:rPr>
      </w:pPr>
      <w:r w:rsidRPr="00EF2AA8">
        <w:rPr>
          <w:rFonts w:ascii="Arial" w:eastAsia="Times New Roman" w:hAnsi="Arial" w:cs="Arial"/>
          <w:i/>
          <w:sz w:val="18"/>
          <w:szCs w:val="18"/>
          <w:lang w:bidi="en-US"/>
        </w:rPr>
        <w:t>Miles de Pesos</w:t>
      </w:r>
    </w:p>
    <w:p w:rsidR="004662E1" w:rsidRPr="00EF2AA8" w:rsidRDefault="004662E1" w:rsidP="004662E1">
      <w:pPr>
        <w:spacing w:line="276" w:lineRule="auto"/>
        <w:jc w:val="both"/>
        <w:rPr>
          <w:rFonts w:ascii="Arial" w:eastAsia="Times New Roman" w:hAnsi="Arial" w:cs="Arial"/>
          <w:sz w:val="24"/>
          <w:szCs w:val="24"/>
          <w:lang w:bidi="en-US"/>
        </w:rPr>
      </w:pPr>
    </w:p>
    <w:tbl>
      <w:tblPr>
        <w:tblW w:w="9803" w:type="dxa"/>
        <w:tblCellMar>
          <w:left w:w="70" w:type="dxa"/>
          <w:right w:w="70" w:type="dxa"/>
        </w:tblCellMar>
        <w:tblLook w:val="04A0" w:firstRow="1" w:lastRow="0" w:firstColumn="1" w:lastColumn="0" w:noHBand="0" w:noVBand="1"/>
      </w:tblPr>
      <w:tblGrid>
        <w:gridCol w:w="1893"/>
        <w:gridCol w:w="1041"/>
        <w:gridCol w:w="541"/>
        <w:gridCol w:w="1041"/>
        <w:gridCol w:w="541"/>
        <w:gridCol w:w="1041"/>
        <w:gridCol w:w="541"/>
        <w:gridCol w:w="1041"/>
        <w:gridCol w:w="541"/>
        <w:gridCol w:w="1041"/>
        <w:gridCol w:w="541"/>
      </w:tblGrid>
      <w:tr w:rsidR="004662E1" w:rsidRPr="00EF2AA8" w:rsidTr="009A5F28">
        <w:trPr>
          <w:trHeight w:val="501"/>
          <w:tblHeader/>
        </w:trPr>
        <w:tc>
          <w:tcPr>
            <w:tcW w:w="1893"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Cs w:val="20"/>
                <w:lang w:eastAsia="es-CO"/>
              </w:rPr>
            </w:pPr>
            <w:bookmarkStart w:id="29" w:name="OLE_LINK3"/>
            <w:r w:rsidRPr="00EF2AA8">
              <w:rPr>
                <w:rFonts w:ascii="Arial" w:eastAsia="Times New Roman" w:hAnsi="Arial" w:cs="Arial"/>
                <w:b/>
                <w:bCs/>
                <w:i/>
                <w:iCs/>
                <w:szCs w:val="20"/>
                <w:lang w:eastAsia="es-CO"/>
              </w:rPr>
              <w:t>Indicador/Año</w:t>
            </w:r>
          </w:p>
        </w:tc>
        <w:tc>
          <w:tcPr>
            <w:tcW w:w="1582" w:type="dxa"/>
            <w:gridSpan w:val="2"/>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szCs w:val="16"/>
                <w:lang w:eastAsia="es-CO"/>
              </w:rPr>
            </w:pPr>
            <w:r w:rsidRPr="00EF2AA8">
              <w:rPr>
                <w:rFonts w:ascii="Arial" w:eastAsia="Times New Roman" w:hAnsi="Arial" w:cs="Arial"/>
                <w:b/>
                <w:bCs/>
                <w:szCs w:val="16"/>
                <w:lang w:eastAsia="es-CO"/>
              </w:rPr>
              <w:t>2011</w:t>
            </w:r>
          </w:p>
        </w:tc>
        <w:tc>
          <w:tcPr>
            <w:tcW w:w="1582" w:type="dxa"/>
            <w:gridSpan w:val="2"/>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szCs w:val="16"/>
                <w:lang w:eastAsia="es-CO"/>
              </w:rPr>
            </w:pPr>
            <w:r w:rsidRPr="00EF2AA8">
              <w:rPr>
                <w:rFonts w:ascii="Arial" w:eastAsia="Times New Roman" w:hAnsi="Arial" w:cs="Arial"/>
                <w:b/>
                <w:bCs/>
                <w:szCs w:val="16"/>
                <w:lang w:eastAsia="es-CO"/>
              </w:rPr>
              <w:t>2012</w:t>
            </w:r>
          </w:p>
        </w:tc>
        <w:tc>
          <w:tcPr>
            <w:tcW w:w="1582" w:type="dxa"/>
            <w:gridSpan w:val="2"/>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szCs w:val="16"/>
                <w:lang w:eastAsia="es-CO"/>
              </w:rPr>
            </w:pPr>
            <w:r w:rsidRPr="00EF2AA8">
              <w:rPr>
                <w:rFonts w:ascii="Arial" w:eastAsia="Times New Roman" w:hAnsi="Arial" w:cs="Arial"/>
                <w:b/>
                <w:bCs/>
                <w:szCs w:val="16"/>
                <w:lang w:eastAsia="es-CO"/>
              </w:rPr>
              <w:t>2013</w:t>
            </w:r>
          </w:p>
        </w:tc>
        <w:tc>
          <w:tcPr>
            <w:tcW w:w="1582" w:type="dxa"/>
            <w:gridSpan w:val="2"/>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szCs w:val="16"/>
                <w:lang w:eastAsia="es-CO"/>
              </w:rPr>
            </w:pPr>
            <w:r w:rsidRPr="00EF2AA8">
              <w:rPr>
                <w:rFonts w:ascii="Arial" w:eastAsia="Times New Roman" w:hAnsi="Arial" w:cs="Arial"/>
                <w:b/>
                <w:bCs/>
                <w:szCs w:val="16"/>
                <w:lang w:eastAsia="es-CO"/>
              </w:rPr>
              <w:t>2014</w:t>
            </w:r>
          </w:p>
        </w:tc>
        <w:tc>
          <w:tcPr>
            <w:tcW w:w="1582" w:type="dxa"/>
            <w:gridSpan w:val="2"/>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szCs w:val="16"/>
                <w:lang w:eastAsia="es-CO"/>
              </w:rPr>
            </w:pPr>
            <w:r w:rsidRPr="00DD78C8">
              <w:rPr>
                <w:rFonts w:ascii="Arial" w:eastAsia="Times New Roman" w:hAnsi="Arial" w:cs="Arial"/>
                <w:b/>
                <w:bCs/>
                <w:szCs w:val="16"/>
                <w:lang w:eastAsia="es-CO"/>
              </w:rPr>
              <w:t>2015p</w:t>
            </w:r>
          </w:p>
        </w:tc>
      </w:tr>
      <w:tr w:rsidR="004662E1" w:rsidRPr="00EF2AA8" w:rsidTr="009A5F28">
        <w:trPr>
          <w:trHeight w:val="1046"/>
        </w:trPr>
        <w:tc>
          <w:tcPr>
            <w:tcW w:w="1893" w:type="dxa"/>
            <w:tcBorders>
              <w:top w:val="nil"/>
              <w:left w:val="nil"/>
              <w:bottom w:val="nil"/>
              <w:right w:val="nil"/>
            </w:tcBorders>
            <w:shd w:val="clear" w:color="000000" w:fill="EDEDED"/>
            <w:vAlign w:val="center"/>
            <w:hideMark/>
          </w:tcPr>
          <w:p w:rsidR="004662E1" w:rsidRPr="00EF2AA8" w:rsidRDefault="004662E1" w:rsidP="009A5F28">
            <w:pPr>
              <w:jc w:val="center"/>
              <w:rPr>
                <w:rFonts w:ascii="Arial" w:eastAsia="Times New Roman" w:hAnsi="Arial" w:cs="Arial"/>
                <w:b/>
                <w:bCs/>
                <w:i/>
                <w:iCs/>
                <w:sz w:val="18"/>
                <w:szCs w:val="16"/>
                <w:lang w:eastAsia="es-CO"/>
              </w:rPr>
            </w:pPr>
            <w:r w:rsidRPr="00EF2AA8">
              <w:rPr>
                <w:rFonts w:ascii="Arial" w:eastAsia="Times New Roman" w:hAnsi="Arial" w:cs="Arial"/>
                <w:b/>
                <w:bCs/>
                <w:i/>
                <w:iCs/>
                <w:sz w:val="18"/>
                <w:szCs w:val="16"/>
                <w:lang w:eastAsia="es-CO"/>
              </w:rPr>
              <w:t>1. Participación Aportes Nación en Total del Gasto</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r>
      <w:tr w:rsidR="004662E1" w:rsidRPr="00EF2AA8" w:rsidTr="009A5F28">
        <w:trPr>
          <w:trHeight w:val="550"/>
        </w:trPr>
        <w:tc>
          <w:tcPr>
            <w:tcW w:w="1893"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Recursos Nación Ejecutados</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40.244.751</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60%</w:t>
            </w: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44.653.014</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62%</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50.632.173</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60%</w:t>
            </w: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59.476.260</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64%</w:t>
            </w: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57.720.856</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59%</w:t>
            </w:r>
          </w:p>
        </w:tc>
      </w:tr>
      <w:tr w:rsidR="004662E1" w:rsidRPr="00EF2AA8" w:rsidTr="009A5F28">
        <w:trPr>
          <w:trHeight w:val="501"/>
        </w:trPr>
        <w:tc>
          <w:tcPr>
            <w:tcW w:w="1893"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Presupuesto Gastos Ejecutado</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66.914.536</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72.455.764</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83.965.724</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92.227.076</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97.752.080</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r>
      <w:tr w:rsidR="004662E1" w:rsidRPr="00EF2AA8" w:rsidTr="009A5F28">
        <w:trPr>
          <w:trHeight w:val="726"/>
        </w:trPr>
        <w:tc>
          <w:tcPr>
            <w:tcW w:w="1893" w:type="dxa"/>
            <w:tcBorders>
              <w:top w:val="nil"/>
              <w:left w:val="nil"/>
              <w:bottom w:val="nil"/>
              <w:right w:val="nil"/>
            </w:tcBorders>
            <w:shd w:val="clear" w:color="000000" w:fill="EDEDED"/>
            <w:vAlign w:val="center"/>
            <w:hideMark/>
          </w:tcPr>
          <w:p w:rsidR="004662E1" w:rsidRPr="00EF2AA8" w:rsidRDefault="004662E1" w:rsidP="009A5F28">
            <w:pPr>
              <w:jc w:val="center"/>
              <w:rPr>
                <w:rFonts w:ascii="Arial" w:eastAsia="Times New Roman" w:hAnsi="Arial" w:cs="Arial"/>
                <w:b/>
                <w:bCs/>
                <w:i/>
                <w:iCs/>
                <w:sz w:val="18"/>
                <w:szCs w:val="16"/>
                <w:lang w:eastAsia="es-CO"/>
              </w:rPr>
            </w:pPr>
            <w:r w:rsidRPr="00EF2AA8">
              <w:rPr>
                <w:rFonts w:ascii="Arial" w:eastAsia="Times New Roman" w:hAnsi="Arial" w:cs="Arial"/>
                <w:b/>
                <w:bCs/>
                <w:i/>
                <w:iCs/>
                <w:sz w:val="18"/>
                <w:szCs w:val="16"/>
                <w:lang w:eastAsia="es-CO"/>
              </w:rPr>
              <w:t>2. Recaudo efectivo de Recursos propios</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r>
      <w:tr w:rsidR="004662E1" w:rsidRPr="00EF2AA8" w:rsidTr="009A5F28">
        <w:trPr>
          <w:trHeight w:val="550"/>
        </w:trPr>
        <w:tc>
          <w:tcPr>
            <w:tcW w:w="1893"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Recursos Propios Recaudados</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25.313.782</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94%</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27.051.915</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94%</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31.614.049</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97%</w:t>
            </w: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45.375.888</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98%</w:t>
            </w: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34.626.331</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98%</w:t>
            </w:r>
          </w:p>
        </w:tc>
      </w:tr>
      <w:tr w:rsidR="004662E1" w:rsidRPr="00EF2AA8" w:rsidTr="009A5F28">
        <w:trPr>
          <w:trHeight w:val="501"/>
        </w:trPr>
        <w:tc>
          <w:tcPr>
            <w:tcW w:w="1893"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Recursos Propios Presupuestados</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26.877.510</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28.839.706</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32.432.701</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46.433.789</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35.2</w:t>
            </w:r>
          </w:p>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99.333</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r>
      <w:tr w:rsidR="004662E1" w:rsidRPr="00EF2AA8" w:rsidTr="009A5F28">
        <w:trPr>
          <w:trHeight w:val="651"/>
        </w:trPr>
        <w:tc>
          <w:tcPr>
            <w:tcW w:w="1893" w:type="dxa"/>
            <w:tcBorders>
              <w:top w:val="nil"/>
              <w:left w:val="nil"/>
              <w:bottom w:val="nil"/>
              <w:right w:val="nil"/>
            </w:tcBorders>
            <w:shd w:val="clear" w:color="000000" w:fill="EDEDED"/>
            <w:vAlign w:val="center"/>
            <w:hideMark/>
          </w:tcPr>
          <w:p w:rsidR="004662E1" w:rsidRPr="00EF2AA8" w:rsidRDefault="004662E1" w:rsidP="009A5F28">
            <w:pPr>
              <w:jc w:val="center"/>
              <w:rPr>
                <w:rFonts w:ascii="Arial" w:eastAsia="Times New Roman" w:hAnsi="Arial" w:cs="Arial"/>
                <w:b/>
                <w:bCs/>
                <w:i/>
                <w:iCs/>
                <w:sz w:val="18"/>
                <w:szCs w:val="16"/>
                <w:lang w:eastAsia="es-CO"/>
              </w:rPr>
            </w:pPr>
            <w:r w:rsidRPr="00EF2AA8">
              <w:rPr>
                <w:rFonts w:ascii="Arial" w:eastAsia="Times New Roman" w:hAnsi="Arial" w:cs="Arial"/>
                <w:b/>
                <w:bCs/>
                <w:i/>
                <w:iCs/>
                <w:sz w:val="18"/>
                <w:szCs w:val="16"/>
                <w:lang w:eastAsia="es-CO"/>
              </w:rPr>
              <w:t>3. Comportamiento de la Inversión</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r>
      <w:tr w:rsidR="004662E1" w:rsidRPr="00EF2AA8" w:rsidTr="009A5F28">
        <w:trPr>
          <w:trHeight w:val="550"/>
        </w:trPr>
        <w:tc>
          <w:tcPr>
            <w:tcW w:w="1893"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Inversión Ejecutada</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6.120.247</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9%</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8.919.156</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12%</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15.929.614</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19%</w:t>
            </w: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14.508.581</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16%</w:t>
            </w: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16.603.000</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17%</w:t>
            </w:r>
          </w:p>
        </w:tc>
      </w:tr>
      <w:tr w:rsidR="004662E1" w:rsidRPr="00EF2AA8" w:rsidTr="009A5F28">
        <w:trPr>
          <w:trHeight w:val="501"/>
        </w:trPr>
        <w:tc>
          <w:tcPr>
            <w:tcW w:w="1893"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Presupuesto Gastos Ejecutado</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66.914.536</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72.455.764</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83.965.724</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92.227.076</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97.752.080</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r>
      <w:tr w:rsidR="004662E1" w:rsidRPr="00EF2AA8" w:rsidTr="009A5F28">
        <w:trPr>
          <w:trHeight w:val="475"/>
        </w:trPr>
        <w:tc>
          <w:tcPr>
            <w:tcW w:w="1893" w:type="dxa"/>
            <w:tcBorders>
              <w:top w:val="nil"/>
              <w:left w:val="nil"/>
              <w:bottom w:val="nil"/>
              <w:right w:val="nil"/>
            </w:tcBorders>
            <w:shd w:val="clear" w:color="000000" w:fill="EDEDED"/>
            <w:vAlign w:val="center"/>
            <w:hideMark/>
          </w:tcPr>
          <w:p w:rsidR="004662E1" w:rsidRPr="00EF2AA8" w:rsidRDefault="004662E1" w:rsidP="009A5F28">
            <w:pPr>
              <w:jc w:val="center"/>
              <w:rPr>
                <w:rFonts w:ascii="Arial" w:eastAsia="Times New Roman" w:hAnsi="Arial" w:cs="Arial"/>
                <w:b/>
                <w:bCs/>
                <w:i/>
                <w:iCs/>
                <w:sz w:val="18"/>
                <w:szCs w:val="16"/>
                <w:lang w:eastAsia="es-CO"/>
              </w:rPr>
            </w:pPr>
            <w:r w:rsidRPr="00EF2AA8">
              <w:rPr>
                <w:rFonts w:ascii="Arial" w:eastAsia="Times New Roman" w:hAnsi="Arial" w:cs="Arial"/>
                <w:b/>
                <w:bCs/>
                <w:i/>
                <w:iCs/>
                <w:sz w:val="18"/>
                <w:szCs w:val="16"/>
                <w:lang w:eastAsia="es-CO"/>
              </w:rPr>
              <w:t>4. Desempeño Financiero</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c>
          <w:tcPr>
            <w:tcW w:w="10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Valor</w:t>
            </w:r>
          </w:p>
        </w:tc>
        <w:tc>
          <w:tcPr>
            <w:tcW w:w="541" w:type="dxa"/>
            <w:tcBorders>
              <w:top w:val="nil"/>
              <w:left w:val="nil"/>
              <w:bottom w:val="nil"/>
              <w:right w:val="nil"/>
            </w:tcBorders>
            <w:shd w:val="clear" w:color="000000" w:fill="EDEDED"/>
            <w:noWrap/>
            <w:vAlign w:val="center"/>
            <w:hideMark/>
          </w:tcPr>
          <w:p w:rsidR="004662E1" w:rsidRPr="00EF2AA8" w:rsidRDefault="004662E1" w:rsidP="009A5F28">
            <w:pPr>
              <w:jc w:val="center"/>
              <w:rPr>
                <w:rFonts w:ascii="Arial" w:eastAsia="Times New Roman" w:hAnsi="Arial" w:cs="Arial"/>
                <w:b/>
                <w:bCs/>
                <w:sz w:val="20"/>
                <w:szCs w:val="16"/>
                <w:lang w:eastAsia="es-CO"/>
              </w:rPr>
            </w:pPr>
            <w:r w:rsidRPr="00EF2AA8">
              <w:rPr>
                <w:rFonts w:ascii="Arial" w:eastAsia="Times New Roman" w:hAnsi="Arial" w:cs="Arial"/>
                <w:b/>
                <w:bCs/>
                <w:sz w:val="20"/>
                <w:szCs w:val="16"/>
                <w:lang w:eastAsia="es-CO"/>
              </w:rPr>
              <w:t>%</w:t>
            </w:r>
          </w:p>
        </w:tc>
      </w:tr>
      <w:tr w:rsidR="004662E1" w:rsidRPr="00EF2AA8" w:rsidTr="009A5F28">
        <w:trPr>
          <w:trHeight w:val="550"/>
        </w:trPr>
        <w:tc>
          <w:tcPr>
            <w:tcW w:w="1893"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Recursos Propios recaudados</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25.313.782</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41%</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27.051.915</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43%</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31.614.049</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47%</w:t>
            </w: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45.375.888</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59%</w:t>
            </w: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u w:val="single"/>
                <w:lang w:eastAsia="es-CO"/>
              </w:rPr>
            </w:pPr>
            <w:r w:rsidRPr="00EF2AA8">
              <w:rPr>
                <w:rFonts w:ascii="Arial" w:eastAsia="Times New Roman" w:hAnsi="Arial" w:cs="Arial"/>
                <w:sz w:val="18"/>
                <w:szCs w:val="16"/>
                <w:u w:val="single"/>
                <w:lang w:eastAsia="es-CO"/>
              </w:rPr>
              <w:t>34.626.331</w:t>
            </w:r>
          </w:p>
        </w:tc>
        <w:tc>
          <w:tcPr>
            <w:tcW w:w="541" w:type="dxa"/>
            <w:vMerge w:val="restart"/>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20"/>
                <w:szCs w:val="16"/>
                <w:lang w:eastAsia="es-CO"/>
              </w:rPr>
            </w:pPr>
            <w:r w:rsidRPr="00EF2AA8">
              <w:rPr>
                <w:rFonts w:ascii="Arial" w:eastAsia="Times New Roman" w:hAnsi="Arial" w:cs="Arial"/>
                <w:sz w:val="20"/>
                <w:szCs w:val="16"/>
                <w:lang w:eastAsia="es-CO"/>
              </w:rPr>
              <w:t>43%</w:t>
            </w:r>
          </w:p>
        </w:tc>
      </w:tr>
      <w:tr w:rsidR="004662E1" w:rsidRPr="00EF2AA8" w:rsidTr="009A5F28">
        <w:trPr>
          <w:trHeight w:val="501"/>
        </w:trPr>
        <w:tc>
          <w:tcPr>
            <w:tcW w:w="1893"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Gastos Funcionamiento Ejecutados</w:t>
            </w: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61.025.151</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63.536.595</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auto" w:fill="auto"/>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67.450.324</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77.129.680</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c>
          <w:tcPr>
            <w:tcW w:w="1041" w:type="dxa"/>
            <w:tcBorders>
              <w:top w:val="nil"/>
              <w:left w:val="nil"/>
              <w:bottom w:val="nil"/>
              <w:right w:val="nil"/>
            </w:tcBorders>
            <w:shd w:val="clear" w:color="000000" w:fill="FFFFFF"/>
            <w:noWrap/>
            <w:vAlign w:val="center"/>
            <w:hideMark/>
          </w:tcPr>
          <w:p w:rsidR="004662E1" w:rsidRPr="00EF2AA8" w:rsidRDefault="004662E1" w:rsidP="009A5F28">
            <w:pPr>
              <w:jc w:val="center"/>
              <w:rPr>
                <w:rFonts w:ascii="Arial" w:eastAsia="Times New Roman" w:hAnsi="Arial" w:cs="Arial"/>
                <w:sz w:val="18"/>
                <w:szCs w:val="16"/>
                <w:lang w:eastAsia="es-CO"/>
              </w:rPr>
            </w:pPr>
            <w:r w:rsidRPr="00EF2AA8">
              <w:rPr>
                <w:rFonts w:ascii="Arial" w:eastAsia="Times New Roman" w:hAnsi="Arial" w:cs="Arial"/>
                <w:sz w:val="18"/>
                <w:szCs w:val="16"/>
                <w:lang w:eastAsia="es-CO"/>
              </w:rPr>
              <w:t>81.149.080</w:t>
            </w:r>
          </w:p>
        </w:tc>
        <w:tc>
          <w:tcPr>
            <w:tcW w:w="541" w:type="dxa"/>
            <w:vMerge/>
            <w:tcBorders>
              <w:top w:val="nil"/>
              <w:left w:val="nil"/>
              <w:bottom w:val="nil"/>
              <w:right w:val="nil"/>
            </w:tcBorders>
            <w:vAlign w:val="center"/>
            <w:hideMark/>
          </w:tcPr>
          <w:p w:rsidR="004662E1" w:rsidRPr="00EF2AA8" w:rsidRDefault="004662E1" w:rsidP="009A5F28">
            <w:pPr>
              <w:jc w:val="center"/>
              <w:rPr>
                <w:rFonts w:ascii="Arial" w:eastAsia="Times New Roman" w:hAnsi="Arial" w:cs="Arial"/>
                <w:sz w:val="20"/>
                <w:szCs w:val="16"/>
                <w:lang w:eastAsia="es-CO"/>
              </w:rPr>
            </w:pPr>
          </w:p>
        </w:tc>
      </w:tr>
      <w:tr w:rsidR="004662E1" w:rsidRPr="00EF2AA8" w:rsidTr="009A5F28">
        <w:trPr>
          <w:trHeight w:val="259"/>
        </w:trPr>
        <w:tc>
          <w:tcPr>
            <w:tcW w:w="1893"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c>
          <w:tcPr>
            <w:tcW w:w="1041"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c>
          <w:tcPr>
            <w:tcW w:w="541"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c>
          <w:tcPr>
            <w:tcW w:w="1041"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c>
          <w:tcPr>
            <w:tcW w:w="541"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c>
          <w:tcPr>
            <w:tcW w:w="1041"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c>
          <w:tcPr>
            <w:tcW w:w="541"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c>
          <w:tcPr>
            <w:tcW w:w="1041"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c>
          <w:tcPr>
            <w:tcW w:w="541"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c>
          <w:tcPr>
            <w:tcW w:w="1041"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c>
          <w:tcPr>
            <w:tcW w:w="541" w:type="dxa"/>
            <w:tcBorders>
              <w:top w:val="nil"/>
              <w:left w:val="nil"/>
              <w:bottom w:val="nil"/>
              <w:right w:val="nil"/>
            </w:tcBorders>
            <w:shd w:val="clear" w:color="000000" w:fill="DBDBDB"/>
            <w:noWrap/>
            <w:vAlign w:val="center"/>
            <w:hideMark/>
          </w:tcPr>
          <w:p w:rsidR="004662E1" w:rsidRPr="00EF2AA8" w:rsidRDefault="004662E1" w:rsidP="009A5F28">
            <w:pPr>
              <w:jc w:val="center"/>
              <w:rPr>
                <w:rFonts w:ascii="Arial" w:eastAsia="Times New Roman" w:hAnsi="Arial" w:cs="Arial"/>
                <w:b/>
                <w:bCs/>
                <w:i/>
                <w:iCs/>
                <w:sz w:val="20"/>
                <w:szCs w:val="20"/>
                <w:lang w:eastAsia="es-CO"/>
              </w:rPr>
            </w:pPr>
          </w:p>
        </w:tc>
      </w:tr>
      <w:bookmarkEnd w:id="29"/>
    </w:tbl>
    <w:p w:rsidR="004662E1" w:rsidRPr="00EF2AA8" w:rsidRDefault="004662E1" w:rsidP="004662E1">
      <w:pPr>
        <w:jc w:val="both"/>
        <w:rPr>
          <w:rFonts w:eastAsia="Times New Roman"/>
          <w:i/>
          <w:iCs/>
          <w:color w:val="000000"/>
          <w:szCs w:val="16"/>
          <w:lang w:eastAsia="es-CO"/>
        </w:rPr>
      </w:pPr>
    </w:p>
    <w:p w:rsidR="004662E1" w:rsidRPr="00EF2AA8" w:rsidRDefault="004662E1" w:rsidP="004662E1">
      <w:pPr>
        <w:jc w:val="both"/>
        <w:rPr>
          <w:rFonts w:eastAsia="Times New Roman"/>
          <w:i/>
          <w:iCs/>
          <w:color w:val="000000"/>
          <w:szCs w:val="16"/>
          <w:lang w:eastAsia="es-CO"/>
        </w:rPr>
      </w:pPr>
      <w:r w:rsidRPr="00EF2AA8">
        <w:rPr>
          <w:rFonts w:eastAsia="Times New Roman"/>
          <w:i/>
          <w:iCs/>
          <w:color w:val="000000"/>
          <w:szCs w:val="16"/>
          <w:lang w:eastAsia="es-CO"/>
        </w:rPr>
        <w:t xml:space="preserve">Fuente: </w:t>
      </w:r>
      <w:proofErr w:type="spellStart"/>
      <w:r w:rsidRPr="00EF2AA8">
        <w:rPr>
          <w:rFonts w:eastAsia="Times New Roman"/>
          <w:i/>
          <w:iCs/>
          <w:color w:val="000000"/>
          <w:szCs w:val="16"/>
          <w:lang w:eastAsia="es-CO"/>
        </w:rPr>
        <w:t>Macroproceso</w:t>
      </w:r>
      <w:proofErr w:type="spellEnd"/>
      <w:r w:rsidRPr="00EF2AA8">
        <w:rPr>
          <w:rFonts w:eastAsia="Times New Roman"/>
          <w:i/>
          <w:iCs/>
          <w:color w:val="000000"/>
          <w:szCs w:val="16"/>
          <w:lang w:eastAsia="es-CO"/>
        </w:rPr>
        <w:t xml:space="preserve"> financiero</w:t>
      </w:r>
    </w:p>
    <w:p w:rsidR="004662E1" w:rsidRPr="00EF2AA8" w:rsidRDefault="004662E1" w:rsidP="004662E1">
      <w:pPr>
        <w:jc w:val="both"/>
        <w:rPr>
          <w:rFonts w:ascii="Arial Narrow" w:eastAsia="Times New Roman" w:hAnsi="Arial Narrow" w:cs="Arial"/>
          <w:b/>
          <w:sz w:val="26"/>
          <w:szCs w:val="26"/>
          <w:lang w:bidi="en-US"/>
        </w:rPr>
      </w:pPr>
    </w:p>
    <w:p w:rsidR="004662E1" w:rsidRPr="009E3CF1" w:rsidRDefault="004662E1" w:rsidP="004662E1">
      <w:pPr>
        <w:rPr>
          <w:rFonts w:ascii="Arial" w:eastAsia="Times New Roman" w:hAnsi="Arial" w:cs="Arial"/>
          <w:b/>
          <w:bCs/>
          <w:i/>
          <w:iCs/>
          <w:sz w:val="18"/>
          <w:szCs w:val="16"/>
          <w:highlight w:val="yellow"/>
          <w:lang w:eastAsia="es-CO"/>
        </w:rPr>
      </w:pPr>
    </w:p>
    <w:p w:rsidR="004662E1" w:rsidRPr="00D7475A" w:rsidRDefault="004662E1" w:rsidP="004662E1">
      <w:pPr>
        <w:spacing w:line="276" w:lineRule="auto"/>
        <w:rPr>
          <w:rFonts w:ascii="Arial" w:eastAsia="Times New Roman" w:hAnsi="Arial" w:cs="Arial"/>
          <w:b/>
          <w:bCs/>
          <w:iCs/>
          <w:sz w:val="24"/>
          <w:szCs w:val="24"/>
          <w:lang w:eastAsia="es-CO"/>
        </w:rPr>
      </w:pPr>
      <w:r w:rsidRPr="00D7475A">
        <w:rPr>
          <w:rFonts w:ascii="Arial" w:eastAsia="Times New Roman" w:hAnsi="Arial" w:cs="Arial"/>
          <w:b/>
          <w:bCs/>
          <w:iCs/>
          <w:sz w:val="24"/>
          <w:szCs w:val="24"/>
          <w:lang w:eastAsia="es-CO"/>
        </w:rPr>
        <w:t>Participación Aportes Nación en Total del Gasto</w:t>
      </w:r>
    </w:p>
    <w:p w:rsidR="004662E1" w:rsidRPr="00D7475A" w:rsidRDefault="004662E1" w:rsidP="004662E1">
      <w:pPr>
        <w:spacing w:line="276" w:lineRule="auto"/>
        <w:rPr>
          <w:rFonts w:ascii="Arial" w:eastAsia="Times New Roman" w:hAnsi="Arial" w:cs="Arial"/>
          <w:b/>
          <w:bCs/>
          <w:iCs/>
          <w:sz w:val="24"/>
          <w:szCs w:val="24"/>
          <w:lang w:eastAsia="es-CO"/>
        </w:rPr>
      </w:pPr>
    </w:p>
    <w:p w:rsidR="004662E1" w:rsidRPr="00D7475A" w:rsidRDefault="004662E1" w:rsidP="004662E1">
      <w:pPr>
        <w:spacing w:line="276" w:lineRule="auto"/>
        <w:jc w:val="both"/>
        <w:rPr>
          <w:rFonts w:ascii="Arial" w:eastAsia="Times New Roman" w:hAnsi="Arial" w:cs="Arial"/>
          <w:sz w:val="24"/>
          <w:szCs w:val="24"/>
          <w:lang w:bidi="en-US"/>
        </w:rPr>
      </w:pPr>
      <w:r w:rsidRPr="00D7475A">
        <w:rPr>
          <w:rFonts w:ascii="Arial" w:eastAsia="Times New Roman" w:hAnsi="Arial" w:cs="Arial"/>
          <w:sz w:val="24"/>
          <w:szCs w:val="24"/>
          <w:lang w:bidi="en-US"/>
        </w:rPr>
        <w:t xml:space="preserve">Con este indicador se logra medir en que porcentaje participan los recursos de la nación en la financiación de los gastos de la institución, en el período 2013-2014 </w:t>
      </w:r>
      <w:r w:rsidRPr="00D7475A">
        <w:rPr>
          <w:rFonts w:ascii="Arial" w:eastAsia="Times New Roman" w:hAnsi="Arial" w:cs="Arial"/>
          <w:sz w:val="24"/>
          <w:szCs w:val="24"/>
          <w:lang w:bidi="en-US"/>
        </w:rPr>
        <w:lastRenderedPageBreak/>
        <w:t>esta participación se ha incrementado, y para el año 2014 representó el 64% como resultado de los recursos adicionales que el Gobierno Nacional transfirió a la Universidad, principalmente los provenientes del impuesto para la Equidad (recursos CREE).</w:t>
      </w:r>
    </w:p>
    <w:p w:rsidR="004662E1" w:rsidRPr="005D3314" w:rsidRDefault="004662E1" w:rsidP="004662E1">
      <w:pPr>
        <w:spacing w:line="276" w:lineRule="auto"/>
        <w:rPr>
          <w:rFonts w:ascii="Arial Narrow" w:eastAsia="Times New Roman" w:hAnsi="Arial Narrow" w:cs="Arial"/>
          <w:b/>
          <w:sz w:val="20"/>
          <w:szCs w:val="24"/>
          <w:lang w:bidi="en-US"/>
        </w:rPr>
      </w:pPr>
      <w:r w:rsidRPr="00D7475A">
        <w:rPr>
          <w:rFonts w:ascii="Arial Narrow" w:eastAsia="Times New Roman" w:hAnsi="Arial Narrow" w:cs="Arial"/>
          <w:b/>
          <w:sz w:val="24"/>
          <w:szCs w:val="24"/>
          <w:lang w:bidi="en-US"/>
        </w:rPr>
        <w:t xml:space="preserve"> </w:t>
      </w:r>
    </w:p>
    <w:p w:rsidR="004662E1" w:rsidRDefault="004662E1" w:rsidP="004662E1">
      <w:pPr>
        <w:spacing w:line="276" w:lineRule="auto"/>
        <w:jc w:val="center"/>
        <w:rPr>
          <w:rFonts w:ascii="Arial" w:eastAsia="Times New Roman" w:hAnsi="Arial" w:cs="Arial"/>
          <w:i/>
          <w:sz w:val="20"/>
          <w:szCs w:val="20"/>
          <w:lang w:bidi="en-US"/>
        </w:rPr>
      </w:pPr>
      <w:bookmarkStart w:id="30" w:name="_Toc438487375"/>
      <w:r w:rsidRPr="00D7475A">
        <w:rPr>
          <w:rFonts w:ascii="Arial" w:eastAsia="Times New Roman" w:hAnsi="Arial" w:cs="Arial"/>
          <w:i/>
          <w:sz w:val="20"/>
          <w:szCs w:val="20"/>
          <w:lang w:bidi="en-US"/>
        </w:rPr>
        <w:t xml:space="preserve">Gráfica </w:t>
      </w:r>
      <w:r w:rsidR="006B5E9A">
        <w:rPr>
          <w:rFonts w:ascii="Arial" w:eastAsia="Times New Roman" w:hAnsi="Arial" w:cs="Arial"/>
          <w:i/>
          <w:sz w:val="20"/>
          <w:szCs w:val="20"/>
          <w:lang w:bidi="en-US"/>
        </w:rPr>
        <w:t>20</w:t>
      </w:r>
      <w:r w:rsidRPr="00D7475A">
        <w:rPr>
          <w:rFonts w:ascii="Arial" w:eastAsia="Times New Roman" w:hAnsi="Arial" w:cs="Arial"/>
          <w:i/>
          <w:sz w:val="20"/>
          <w:szCs w:val="20"/>
          <w:lang w:bidi="en-US"/>
        </w:rPr>
        <w:t xml:space="preserve"> – Participación Aportes de la Nación en el Total del Gasto 2011 </w:t>
      </w:r>
      <w:r>
        <w:rPr>
          <w:rFonts w:ascii="Arial" w:eastAsia="Times New Roman" w:hAnsi="Arial" w:cs="Arial"/>
          <w:i/>
          <w:sz w:val="20"/>
          <w:szCs w:val="20"/>
          <w:lang w:bidi="en-US"/>
        </w:rPr>
        <w:t>–</w:t>
      </w:r>
      <w:r w:rsidRPr="00D7475A">
        <w:rPr>
          <w:rFonts w:ascii="Arial" w:eastAsia="Times New Roman" w:hAnsi="Arial" w:cs="Arial"/>
          <w:i/>
          <w:sz w:val="20"/>
          <w:szCs w:val="20"/>
          <w:lang w:bidi="en-US"/>
        </w:rPr>
        <w:t xml:space="preserve"> 2015</w:t>
      </w:r>
      <w:bookmarkEnd w:id="30"/>
    </w:p>
    <w:p w:rsidR="004662E1" w:rsidRPr="009D3523" w:rsidRDefault="004662E1" w:rsidP="004662E1">
      <w:pPr>
        <w:spacing w:line="276" w:lineRule="auto"/>
        <w:jc w:val="center"/>
        <w:rPr>
          <w:rFonts w:ascii="Arial" w:eastAsia="Times New Roman" w:hAnsi="Arial" w:cs="Arial"/>
          <w:i/>
          <w:sz w:val="16"/>
          <w:szCs w:val="20"/>
          <w:lang w:bidi="en-US"/>
        </w:rPr>
      </w:pPr>
    </w:p>
    <w:p w:rsidR="004662E1" w:rsidRPr="00D7475A" w:rsidRDefault="004662E1" w:rsidP="004662E1">
      <w:pPr>
        <w:spacing w:line="276" w:lineRule="auto"/>
        <w:jc w:val="center"/>
        <w:rPr>
          <w:rFonts w:ascii="Arial" w:eastAsia="Times New Roman" w:hAnsi="Arial" w:cs="Arial"/>
          <w:i/>
          <w:sz w:val="20"/>
          <w:szCs w:val="20"/>
          <w:lang w:bidi="en-US"/>
        </w:rPr>
      </w:pPr>
      <w:r w:rsidRPr="00D7475A">
        <w:rPr>
          <w:rFonts w:ascii="Arial" w:eastAsia="Times New Roman" w:hAnsi="Arial" w:cs="Arial"/>
          <w:i/>
          <w:noProof/>
          <w:sz w:val="20"/>
          <w:szCs w:val="20"/>
          <w:lang w:eastAsia="es-CO"/>
        </w:rPr>
        <w:drawing>
          <wp:inline distT="0" distB="0" distL="0" distR="0" wp14:anchorId="615B9DD7" wp14:editId="12C31A6C">
            <wp:extent cx="4829175" cy="3143129"/>
            <wp:effectExtent l="0" t="0" r="0" b="63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83380" cy="3178409"/>
                    </a:xfrm>
                    <a:prstGeom prst="rect">
                      <a:avLst/>
                    </a:prstGeom>
                    <a:noFill/>
                  </pic:spPr>
                </pic:pic>
              </a:graphicData>
            </a:graphic>
          </wp:inline>
        </w:drawing>
      </w:r>
    </w:p>
    <w:p w:rsidR="004662E1" w:rsidRPr="00D7475A" w:rsidRDefault="004662E1" w:rsidP="004662E1">
      <w:pPr>
        <w:spacing w:line="276" w:lineRule="auto"/>
        <w:rPr>
          <w:rFonts w:ascii="Arial" w:eastAsia="Times New Roman" w:hAnsi="Arial" w:cs="Arial"/>
          <w:i/>
          <w:sz w:val="20"/>
          <w:szCs w:val="20"/>
          <w:lang w:bidi="en-US"/>
        </w:rPr>
      </w:pPr>
      <w:r w:rsidRPr="00D7475A">
        <w:rPr>
          <w:rFonts w:ascii="Arial" w:eastAsia="Times New Roman" w:hAnsi="Arial" w:cs="Arial"/>
          <w:i/>
          <w:sz w:val="20"/>
          <w:szCs w:val="20"/>
          <w:lang w:bidi="en-US"/>
        </w:rPr>
        <w:t xml:space="preserve">Fuente: </w:t>
      </w:r>
      <w:proofErr w:type="spellStart"/>
      <w:r w:rsidRPr="00D7475A">
        <w:rPr>
          <w:rFonts w:ascii="Arial" w:eastAsia="Times New Roman" w:hAnsi="Arial" w:cs="Arial"/>
          <w:i/>
          <w:sz w:val="20"/>
          <w:szCs w:val="20"/>
          <w:lang w:bidi="en-US"/>
        </w:rPr>
        <w:t>Macroproceso</w:t>
      </w:r>
      <w:proofErr w:type="spellEnd"/>
      <w:r w:rsidRPr="00D7475A">
        <w:rPr>
          <w:rFonts w:ascii="Arial" w:eastAsia="Times New Roman" w:hAnsi="Arial" w:cs="Arial"/>
          <w:i/>
          <w:sz w:val="20"/>
          <w:szCs w:val="20"/>
          <w:lang w:bidi="en-US"/>
        </w:rPr>
        <w:t xml:space="preserve"> Financiero</w:t>
      </w:r>
    </w:p>
    <w:p w:rsidR="004662E1" w:rsidRPr="00D7475A" w:rsidRDefault="004662E1" w:rsidP="004662E1">
      <w:pPr>
        <w:spacing w:line="276" w:lineRule="auto"/>
        <w:rPr>
          <w:rFonts w:ascii="Arial" w:eastAsia="Times New Roman" w:hAnsi="Arial" w:cs="Arial"/>
          <w:b/>
          <w:bCs/>
          <w:iCs/>
          <w:sz w:val="24"/>
          <w:szCs w:val="24"/>
          <w:lang w:eastAsia="es-CO"/>
        </w:rPr>
      </w:pPr>
    </w:p>
    <w:p w:rsidR="004662E1" w:rsidRPr="00D7475A" w:rsidRDefault="004662E1" w:rsidP="004662E1">
      <w:pPr>
        <w:spacing w:line="276" w:lineRule="auto"/>
        <w:rPr>
          <w:rFonts w:ascii="Arial" w:eastAsia="Times New Roman" w:hAnsi="Arial" w:cs="Arial"/>
          <w:b/>
          <w:bCs/>
          <w:iCs/>
          <w:sz w:val="24"/>
          <w:szCs w:val="24"/>
          <w:lang w:eastAsia="es-CO"/>
        </w:rPr>
      </w:pPr>
      <w:r w:rsidRPr="00D7475A">
        <w:rPr>
          <w:rFonts w:ascii="Arial" w:eastAsia="Times New Roman" w:hAnsi="Arial" w:cs="Arial"/>
          <w:b/>
          <w:bCs/>
          <w:iCs/>
          <w:sz w:val="24"/>
          <w:szCs w:val="24"/>
          <w:lang w:eastAsia="es-CO"/>
        </w:rPr>
        <w:t xml:space="preserve">Recaudo efectivo de Recursos propios </w:t>
      </w:r>
    </w:p>
    <w:p w:rsidR="004662E1" w:rsidRPr="00D7475A" w:rsidRDefault="004662E1" w:rsidP="004662E1">
      <w:pPr>
        <w:spacing w:line="276" w:lineRule="auto"/>
        <w:rPr>
          <w:rFonts w:ascii="Arial" w:eastAsia="Times New Roman" w:hAnsi="Arial" w:cs="Arial"/>
          <w:b/>
          <w:bCs/>
          <w:i/>
          <w:iCs/>
          <w:sz w:val="16"/>
          <w:szCs w:val="16"/>
          <w:lang w:eastAsia="es-CO"/>
        </w:rPr>
      </w:pPr>
    </w:p>
    <w:p w:rsidR="004662E1" w:rsidRPr="00D7475A" w:rsidRDefault="004662E1" w:rsidP="004662E1">
      <w:pPr>
        <w:spacing w:line="276" w:lineRule="auto"/>
        <w:jc w:val="both"/>
        <w:rPr>
          <w:rFonts w:ascii="Arial" w:eastAsia="Times New Roman" w:hAnsi="Arial" w:cs="Arial"/>
          <w:sz w:val="24"/>
          <w:szCs w:val="24"/>
          <w:lang w:val="es-MX" w:eastAsia="es-CO"/>
        </w:rPr>
      </w:pPr>
      <w:r w:rsidRPr="00D7475A">
        <w:rPr>
          <w:rFonts w:ascii="Arial" w:eastAsia="Times New Roman" w:hAnsi="Arial" w:cs="Arial"/>
          <w:sz w:val="24"/>
          <w:szCs w:val="24"/>
          <w:lang w:val="es-MX" w:eastAsia="es-CO"/>
        </w:rPr>
        <w:t xml:space="preserve">Este indicador mide la eficiencia en el recaudo de los recursos propios de la </w:t>
      </w:r>
      <w:proofErr w:type="gramStart"/>
      <w:r w:rsidRPr="00D7475A">
        <w:rPr>
          <w:rFonts w:ascii="Arial" w:eastAsia="Times New Roman" w:hAnsi="Arial" w:cs="Arial"/>
          <w:sz w:val="24"/>
          <w:szCs w:val="24"/>
          <w:lang w:val="es-MX" w:eastAsia="es-CO"/>
        </w:rPr>
        <w:t>Universidad,  observándose</w:t>
      </w:r>
      <w:proofErr w:type="gramEnd"/>
      <w:r w:rsidRPr="00D7475A">
        <w:rPr>
          <w:rFonts w:ascii="Arial" w:eastAsia="Times New Roman" w:hAnsi="Arial" w:cs="Arial"/>
          <w:sz w:val="24"/>
          <w:szCs w:val="24"/>
          <w:lang w:val="es-MX" w:eastAsia="es-CO"/>
        </w:rPr>
        <w:t xml:space="preserve"> que siempre se ha logrado un cumplimiento por encima del 95% en promedio.</w:t>
      </w:r>
    </w:p>
    <w:p w:rsidR="00BA1456" w:rsidRDefault="00BA1456">
      <w:pPr>
        <w:rPr>
          <w:rFonts w:ascii="Arial" w:eastAsia="Times New Roman" w:hAnsi="Arial" w:cs="Arial"/>
          <w:b/>
          <w:bCs/>
          <w:i/>
          <w:iCs/>
          <w:sz w:val="18"/>
          <w:szCs w:val="16"/>
          <w:lang w:eastAsia="es-CO"/>
        </w:rPr>
      </w:pPr>
      <w:r>
        <w:rPr>
          <w:rFonts w:ascii="Arial" w:eastAsia="Times New Roman" w:hAnsi="Arial" w:cs="Arial"/>
          <w:b/>
          <w:bCs/>
          <w:i/>
          <w:iCs/>
          <w:sz w:val="18"/>
          <w:szCs w:val="16"/>
          <w:lang w:eastAsia="es-CO"/>
        </w:rPr>
        <w:br w:type="page"/>
      </w:r>
    </w:p>
    <w:p w:rsidR="004662E1" w:rsidRPr="00D7475A" w:rsidRDefault="004662E1" w:rsidP="004662E1">
      <w:pPr>
        <w:spacing w:line="276" w:lineRule="auto"/>
        <w:rPr>
          <w:rFonts w:ascii="Arial" w:eastAsia="Times New Roman" w:hAnsi="Arial" w:cs="Arial"/>
          <w:b/>
          <w:bCs/>
          <w:i/>
          <w:iCs/>
          <w:sz w:val="18"/>
          <w:szCs w:val="16"/>
          <w:lang w:eastAsia="es-CO"/>
        </w:rPr>
      </w:pPr>
    </w:p>
    <w:p w:rsidR="004662E1" w:rsidRDefault="004662E1" w:rsidP="004662E1">
      <w:pPr>
        <w:spacing w:line="276" w:lineRule="auto"/>
        <w:jc w:val="center"/>
        <w:rPr>
          <w:rFonts w:ascii="Arial" w:eastAsia="Times New Roman" w:hAnsi="Arial" w:cs="Arial"/>
          <w:i/>
          <w:sz w:val="20"/>
          <w:szCs w:val="20"/>
          <w:lang w:bidi="en-US"/>
        </w:rPr>
      </w:pPr>
      <w:bookmarkStart w:id="31" w:name="_Toc438487376"/>
      <w:r w:rsidRPr="00D7475A">
        <w:rPr>
          <w:rFonts w:ascii="Arial" w:eastAsia="Times New Roman" w:hAnsi="Arial" w:cs="Arial"/>
          <w:i/>
          <w:sz w:val="20"/>
          <w:szCs w:val="20"/>
          <w:lang w:bidi="en-US"/>
        </w:rPr>
        <w:t>Gráfica</w:t>
      </w:r>
      <w:r w:rsidR="00BA1456">
        <w:rPr>
          <w:rFonts w:ascii="Arial" w:eastAsia="Times New Roman" w:hAnsi="Arial" w:cs="Arial"/>
          <w:i/>
          <w:sz w:val="20"/>
          <w:szCs w:val="20"/>
          <w:lang w:bidi="en-US"/>
        </w:rPr>
        <w:t>21</w:t>
      </w:r>
      <w:r w:rsidRPr="00D7475A">
        <w:rPr>
          <w:rFonts w:ascii="Arial" w:eastAsia="Times New Roman" w:hAnsi="Arial" w:cs="Arial"/>
          <w:i/>
          <w:sz w:val="20"/>
          <w:szCs w:val="20"/>
          <w:lang w:bidi="en-US"/>
        </w:rPr>
        <w:t xml:space="preserve"> – Recaudo Efectivo de Recursos Propios 2011 </w:t>
      </w:r>
      <w:r>
        <w:rPr>
          <w:rFonts w:ascii="Arial" w:eastAsia="Times New Roman" w:hAnsi="Arial" w:cs="Arial"/>
          <w:i/>
          <w:sz w:val="20"/>
          <w:szCs w:val="20"/>
          <w:lang w:bidi="en-US"/>
        </w:rPr>
        <w:t>–</w:t>
      </w:r>
      <w:r w:rsidRPr="00D7475A">
        <w:rPr>
          <w:rFonts w:ascii="Arial" w:eastAsia="Times New Roman" w:hAnsi="Arial" w:cs="Arial"/>
          <w:i/>
          <w:sz w:val="20"/>
          <w:szCs w:val="20"/>
          <w:lang w:bidi="en-US"/>
        </w:rPr>
        <w:t xml:space="preserve"> 2015</w:t>
      </w:r>
      <w:bookmarkEnd w:id="31"/>
    </w:p>
    <w:p w:rsidR="004662E1" w:rsidRPr="009D3523" w:rsidRDefault="004662E1" w:rsidP="004662E1">
      <w:pPr>
        <w:spacing w:line="276" w:lineRule="auto"/>
        <w:jc w:val="center"/>
        <w:rPr>
          <w:rFonts w:ascii="Arial Narrow" w:eastAsia="Times New Roman" w:hAnsi="Arial Narrow" w:cs="Arial"/>
          <w:b/>
          <w:sz w:val="16"/>
          <w:szCs w:val="26"/>
          <w:lang w:bidi="en-US"/>
        </w:rPr>
      </w:pPr>
    </w:p>
    <w:p w:rsidR="004662E1" w:rsidRPr="00D7475A" w:rsidRDefault="004662E1" w:rsidP="004662E1">
      <w:pPr>
        <w:jc w:val="center"/>
        <w:rPr>
          <w:rFonts w:ascii="Arial Narrow" w:eastAsia="Times New Roman" w:hAnsi="Arial Narrow" w:cs="Arial"/>
          <w:b/>
          <w:sz w:val="26"/>
          <w:szCs w:val="26"/>
          <w:lang w:bidi="en-US"/>
        </w:rPr>
      </w:pPr>
      <w:r w:rsidRPr="00D7475A">
        <w:rPr>
          <w:rFonts w:ascii="Arial Narrow" w:eastAsia="Times New Roman" w:hAnsi="Arial Narrow" w:cs="Arial"/>
          <w:b/>
          <w:noProof/>
          <w:sz w:val="26"/>
          <w:szCs w:val="26"/>
          <w:lang w:eastAsia="es-CO"/>
        </w:rPr>
        <w:drawing>
          <wp:inline distT="0" distB="0" distL="0" distR="0" wp14:anchorId="61D9687D" wp14:editId="6C8A79A5">
            <wp:extent cx="4724400" cy="2915591"/>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96154" cy="2959873"/>
                    </a:xfrm>
                    <a:prstGeom prst="rect">
                      <a:avLst/>
                    </a:prstGeom>
                    <a:noFill/>
                  </pic:spPr>
                </pic:pic>
              </a:graphicData>
            </a:graphic>
          </wp:inline>
        </w:drawing>
      </w:r>
    </w:p>
    <w:p w:rsidR="004662E1" w:rsidRPr="00D7475A" w:rsidRDefault="004662E1" w:rsidP="004662E1">
      <w:pPr>
        <w:spacing w:line="276" w:lineRule="auto"/>
        <w:rPr>
          <w:rFonts w:ascii="Arial" w:eastAsia="Times New Roman" w:hAnsi="Arial" w:cs="Arial"/>
          <w:i/>
          <w:sz w:val="20"/>
          <w:szCs w:val="20"/>
          <w:lang w:bidi="en-US"/>
        </w:rPr>
      </w:pPr>
      <w:r w:rsidRPr="00D7475A">
        <w:rPr>
          <w:rFonts w:ascii="Arial" w:eastAsia="Times New Roman" w:hAnsi="Arial" w:cs="Arial"/>
          <w:i/>
          <w:sz w:val="20"/>
          <w:szCs w:val="20"/>
          <w:lang w:bidi="en-US"/>
        </w:rPr>
        <w:t xml:space="preserve">Fuente: </w:t>
      </w:r>
      <w:proofErr w:type="spellStart"/>
      <w:r w:rsidRPr="00D7475A">
        <w:rPr>
          <w:rFonts w:ascii="Arial" w:eastAsia="Times New Roman" w:hAnsi="Arial" w:cs="Arial"/>
          <w:i/>
          <w:sz w:val="20"/>
          <w:szCs w:val="20"/>
          <w:lang w:bidi="en-US"/>
        </w:rPr>
        <w:t>Macroproceso</w:t>
      </w:r>
      <w:proofErr w:type="spellEnd"/>
      <w:r w:rsidRPr="00D7475A">
        <w:rPr>
          <w:rFonts w:ascii="Arial" w:eastAsia="Times New Roman" w:hAnsi="Arial" w:cs="Arial"/>
          <w:i/>
          <w:sz w:val="20"/>
          <w:szCs w:val="20"/>
          <w:lang w:bidi="en-US"/>
        </w:rPr>
        <w:t xml:space="preserve"> Financiero</w:t>
      </w:r>
    </w:p>
    <w:p w:rsidR="00BA1456" w:rsidRDefault="00BA1456" w:rsidP="004662E1">
      <w:pPr>
        <w:spacing w:line="276" w:lineRule="auto"/>
        <w:rPr>
          <w:rFonts w:ascii="Arial" w:eastAsia="Times New Roman" w:hAnsi="Arial" w:cs="Arial"/>
          <w:b/>
          <w:bCs/>
          <w:iCs/>
          <w:sz w:val="24"/>
          <w:szCs w:val="24"/>
          <w:lang w:eastAsia="es-CO"/>
        </w:rPr>
      </w:pPr>
    </w:p>
    <w:p w:rsidR="00BA1456" w:rsidRDefault="00BA1456" w:rsidP="004662E1">
      <w:pPr>
        <w:spacing w:line="276" w:lineRule="auto"/>
        <w:rPr>
          <w:rFonts w:ascii="Arial" w:eastAsia="Times New Roman" w:hAnsi="Arial" w:cs="Arial"/>
          <w:b/>
          <w:bCs/>
          <w:iCs/>
          <w:sz w:val="24"/>
          <w:szCs w:val="24"/>
          <w:lang w:eastAsia="es-CO"/>
        </w:rPr>
      </w:pPr>
    </w:p>
    <w:p w:rsidR="004662E1" w:rsidRPr="00D7475A" w:rsidRDefault="004662E1" w:rsidP="004662E1">
      <w:pPr>
        <w:spacing w:line="276" w:lineRule="auto"/>
        <w:rPr>
          <w:rFonts w:ascii="Arial Narrow" w:eastAsia="Times New Roman" w:hAnsi="Arial Narrow" w:cs="Arial"/>
          <w:b/>
          <w:sz w:val="24"/>
          <w:szCs w:val="24"/>
          <w:lang w:bidi="en-US"/>
        </w:rPr>
      </w:pPr>
      <w:r w:rsidRPr="00D7475A">
        <w:rPr>
          <w:rFonts w:ascii="Arial" w:eastAsia="Times New Roman" w:hAnsi="Arial" w:cs="Arial"/>
          <w:b/>
          <w:bCs/>
          <w:iCs/>
          <w:sz w:val="24"/>
          <w:szCs w:val="24"/>
          <w:lang w:eastAsia="es-CO"/>
        </w:rPr>
        <w:t>Comportamiento de la Inversión</w:t>
      </w:r>
      <w:r w:rsidRPr="00D7475A">
        <w:rPr>
          <w:rFonts w:ascii="Arial Narrow" w:eastAsia="Times New Roman" w:hAnsi="Arial Narrow" w:cs="Arial"/>
          <w:b/>
          <w:sz w:val="24"/>
          <w:szCs w:val="24"/>
          <w:lang w:bidi="en-US"/>
        </w:rPr>
        <w:t xml:space="preserve"> </w:t>
      </w:r>
    </w:p>
    <w:p w:rsidR="004662E1" w:rsidRPr="009D3523" w:rsidRDefault="004662E1" w:rsidP="004662E1">
      <w:pPr>
        <w:spacing w:line="276" w:lineRule="auto"/>
        <w:rPr>
          <w:rFonts w:ascii="Arial Narrow" w:eastAsia="Times New Roman" w:hAnsi="Arial Narrow" w:cs="Arial"/>
          <w:b/>
          <w:sz w:val="18"/>
          <w:szCs w:val="24"/>
          <w:lang w:bidi="en-US"/>
        </w:rPr>
      </w:pPr>
    </w:p>
    <w:p w:rsidR="004662E1" w:rsidRPr="00D7475A" w:rsidRDefault="004662E1" w:rsidP="004662E1">
      <w:pPr>
        <w:spacing w:line="276" w:lineRule="auto"/>
        <w:jc w:val="both"/>
        <w:rPr>
          <w:rFonts w:ascii="Times New Roman" w:eastAsia="Times New Roman" w:hAnsi="Times New Roman"/>
          <w:b/>
          <w:sz w:val="24"/>
          <w:szCs w:val="24"/>
          <w:lang w:val="es-MX" w:eastAsia="es-CO"/>
        </w:rPr>
      </w:pPr>
      <w:r w:rsidRPr="00D7475A">
        <w:rPr>
          <w:rFonts w:ascii="Arial" w:eastAsia="Times New Roman" w:hAnsi="Arial" w:cs="Arial"/>
          <w:sz w:val="24"/>
          <w:szCs w:val="24"/>
          <w:lang w:val="es-MX" w:eastAsia="es-CO"/>
        </w:rPr>
        <w:t>La participación de la inversión en los gastos de la Universidad en los últimos años ha venido creciendo de manera importante apoyada en los recursos adicionales que el Gobierno Nacional ha transferido a las Universidades Públicas llegando a niveles históricos del 19%y 16% en los últimos dos años ejecutados.</w:t>
      </w:r>
    </w:p>
    <w:p w:rsidR="004662E1" w:rsidRPr="009D3523" w:rsidRDefault="004662E1" w:rsidP="004662E1">
      <w:pPr>
        <w:spacing w:line="276" w:lineRule="auto"/>
        <w:jc w:val="center"/>
        <w:rPr>
          <w:rFonts w:ascii="Arial" w:eastAsia="Times New Roman" w:hAnsi="Arial" w:cs="Arial"/>
          <w:i/>
          <w:sz w:val="18"/>
          <w:szCs w:val="20"/>
          <w:lang w:bidi="en-US"/>
        </w:rPr>
      </w:pPr>
    </w:p>
    <w:p w:rsidR="004662E1" w:rsidRPr="00D7475A" w:rsidRDefault="004662E1" w:rsidP="004662E1">
      <w:pPr>
        <w:spacing w:line="276" w:lineRule="auto"/>
        <w:jc w:val="center"/>
        <w:rPr>
          <w:rFonts w:ascii="Arial Narrow" w:eastAsia="Times New Roman" w:hAnsi="Arial Narrow" w:cs="Arial"/>
          <w:b/>
          <w:sz w:val="26"/>
          <w:szCs w:val="26"/>
          <w:lang w:bidi="en-US"/>
        </w:rPr>
      </w:pPr>
      <w:bookmarkStart w:id="32" w:name="_Toc438487377"/>
      <w:proofErr w:type="gramStart"/>
      <w:r w:rsidRPr="00D7475A">
        <w:rPr>
          <w:rFonts w:ascii="Arial" w:eastAsia="Times New Roman" w:hAnsi="Arial" w:cs="Arial"/>
          <w:i/>
          <w:sz w:val="20"/>
          <w:szCs w:val="20"/>
          <w:lang w:bidi="en-US"/>
        </w:rPr>
        <w:t>Gráfica</w:t>
      </w:r>
      <w:r w:rsidR="00BA1456">
        <w:rPr>
          <w:rFonts w:ascii="Arial" w:eastAsia="Times New Roman" w:hAnsi="Arial" w:cs="Arial"/>
          <w:i/>
          <w:sz w:val="20"/>
          <w:szCs w:val="20"/>
          <w:lang w:bidi="en-US"/>
        </w:rPr>
        <w:t xml:space="preserve">  22</w:t>
      </w:r>
      <w:proofErr w:type="gramEnd"/>
      <w:r w:rsidRPr="00D7475A">
        <w:rPr>
          <w:rFonts w:ascii="Arial" w:eastAsia="Times New Roman" w:hAnsi="Arial" w:cs="Arial"/>
          <w:i/>
          <w:sz w:val="20"/>
          <w:szCs w:val="20"/>
          <w:lang w:bidi="en-US"/>
        </w:rPr>
        <w:t xml:space="preserve"> – Comportamiento de la Inversión  2011 - 2015</w:t>
      </w:r>
      <w:bookmarkEnd w:id="32"/>
    </w:p>
    <w:p w:rsidR="004662E1" w:rsidRPr="00D7475A" w:rsidRDefault="004662E1" w:rsidP="004662E1">
      <w:pPr>
        <w:jc w:val="center"/>
        <w:rPr>
          <w:rFonts w:ascii="Arial Narrow" w:eastAsia="Times New Roman" w:hAnsi="Arial Narrow" w:cs="Arial"/>
          <w:b/>
          <w:sz w:val="26"/>
          <w:szCs w:val="26"/>
          <w:lang w:bidi="en-US"/>
        </w:rPr>
      </w:pPr>
      <w:r w:rsidRPr="00D7475A">
        <w:rPr>
          <w:rFonts w:ascii="Arial Narrow" w:eastAsia="Times New Roman" w:hAnsi="Arial Narrow" w:cs="Arial"/>
          <w:b/>
          <w:noProof/>
          <w:sz w:val="26"/>
          <w:szCs w:val="26"/>
          <w:lang w:eastAsia="es-CO"/>
        </w:rPr>
        <w:drawing>
          <wp:inline distT="0" distB="0" distL="0" distR="0" wp14:anchorId="1769A0E9" wp14:editId="4A4EC8C3">
            <wp:extent cx="4711217" cy="2563531"/>
            <wp:effectExtent l="0" t="0" r="0" b="825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0826" cy="2590525"/>
                    </a:xfrm>
                    <a:prstGeom prst="rect">
                      <a:avLst/>
                    </a:prstGeom>
                    <a:noFill/>
                  </pic:spPr>
                </pic:pic>
              </a:graphicData>
            </a:graphic>
          </wp:inline>
        </w:drawing>
      </w:r>
    </w:p>
    <w:p w:rsidR="004662E1" w:rsidRPr="00D7475A" w:rsidRDefault="004662E1" w:rsidP="004662E1">
      <w:pPr>
        <w:spacing w:line="276" w:lineRule="auto"/>
        <w:rPr>
          <w:rFonts w:ascii="Arial" w:eastAsia="Times New Roman" w:hAnsi="Arial" w:cs="Arial"/>
          <w:i/>
          <w:sz w:val="20"/>
          <w:szCs w:val="20"/>
          <w:lang w:bidi="en-US"/>
        </w:rPr>
      </w:pPr>
      <w:r w:rsidRPr="00D7475A">
        <w:rPr>
          <w:rFonts w:ascii="Arial" w:eastAsia="Times New Roman" w:hAnsi="Arial" w:cs="Arial"/>
          <w:i/>
          <w:sz w:val="20"/>
          <w:szCs w:val="20"/>
          <w:lang w:bidi="en-US"/>
        </w:rPr>
        <w:t xml:space="preserve">Fuente: </w:t>
      </w:r>
      <w:proofErr w:type="spellStart"/>
      <w:r w:rsidRPr="00D7475A">
        <w:rPr>
          <w:rFonts w:ascii="Arial" w:eastAsia="Times New Roman" w:hAnsi="Arial" w:cs="Arial"/>
          <w:i/>
          <w:sz w:val="20"/>
          <w:szCs w:val="20"/>
          <w:lang w:bidi="en-US"/>
        </w:rPr>
        <w:t>Macroproceso</w:t>
      </w:r>
      <w:proofErr w:type="spellEnd"/>
      <w:r w:rsidRPr="00D7475A">
        <w:rPr>
          <w:rFonts w:ascii="Arial" w:eastAsia="Times New Roman" w:hAnsi="Arial" w:cs="Arial"/>
          <w:i/>
          <w:sz w:val="20"/>
          <w:szCs w:val="20"/>
          <w:lang w:bidi="en-US"/>
        </w:rPr>
        <w:t xml:space="preserve"> Financiero</w:t>
      </w:r>
    </w:p>
    <w:p w:rsidR="004662E1" w:rsidRPr="009D3523" w:rsidRDefault="004662E1" w:rsidP="004662E1">
      <w:pPr>
        <w:spacing w:line="276" w:lineRule="auto"/>
        <w:rPr>
          <w:rFonts w:ascii="Arial" w:eastAsia="Times New Roman" w:hAnsi="Arial" w:cs="Arial"/>
          <w:b/>
          <w:bCs/>
          <w:iCs/>
          <w:sz w:val="20"/>
          <w:szCs w:val="24"/>
          <w:lang w:eastAsia="es-CO"/>
        </w:rPr>
      </w:pPr>
    </w:p>
    <w:p w:rsidR="004662E1" w:rsidRPr="00D7475A" w:rsidRDefault="004662E1" w:rsidP="004662E1">
      <w:pPr>
        <w:spacing w:line="276" w:lineRule="auto"/>
        <w:rPr>
          <w:rFonts w:ascii="Arial Narrow" w:eastAsia="Times New Roman" w:hAnsi="Arial Narrow" w:cs="Arial"/>
          <w:b/>
          <w:sz w:val="26"/>
          <w:szCs w:val="26"/>
          <w:lang w:bidi="en-US"/>
        </w:rPr>
      </w:pPr>
      <w:r w:rsidRPr="00D7475A">
        <w:rPr>
          <w:rFonts w:ascii="Arial" w:eastAsia="Times New Roman" w:hAnsi="Arial" w:cs="Arial"/>
          <w:b/>
          <w:bCs/>
          <w:iCs/>
          <w:sz w:val="24"/>
          <w:szCs w:val="24"/>
          <w:lang w:eastAsia="es-CO"/>
        </w:rPr>
        <w:t>Desempeño Financiero</w:t>
      </w:r>
      <w:r w:rsidRPr="00D7475A">
        <w:rPr>
          <w:rFonts w:ascii="Arial Narrow" w:eastAsia="Times New Roman" w:hAnsi="Arial Narrow" w:cs="Arial"/>
          <w:b/>
          <w:sz w:val="26"/>
          <w:szCs w:val="26"/>
          <w:lang w:bidi="en-US"/>
        </w:rPr>
        <w:t xml:space="preserve"> </w:t>
      </w:r>
    </w:p>
    <w:p w:rsidR="004662E1" w:rsidRPr="009D3523" w:rsidRDefault="004662E1" w:rsidP="004662E1">
      <w:pPr>
        <w:spacing w:line="276" w:lineRule="auto"/>
        <w:rPr>
          <w:rFonts w:ascii="Arial Narrow" w:eastAsia="Times New Roman" w:hAnsi="Arial Narrow" w:cs="Arial"/>
          <w:b/>
          <w:sz w:val="18"/>
          <w:szCs w:val="26"/>
          <w:lang w:bidi="en-US"/>
        </w:rPr>
      </w:pPr>
    </w:p>
    <w:p w:rsidR="004662E1" w:rsidRPr="00D7475A" w:rsidRDefault="004662E1" w:rsidP="004662E1">
      <w:pPr>
        <w:spacing w:line="276" w:lineRule="auto"/>
        <w:jc w:val="both"/>
        <w:rPr>
          <w:rFonts w:ascii="Arial" w:eastAsia="Times New Roman" w:hAnsi="Arial" w:cs="Arial"/>
          <w:sz w:val="24"/>
          <w:szCs w:val="24"/>
          <w:lang w:val="es-MX" w:eastAsia="es-CO"/>
        </w:rPr>
      </w:pPr>
      <w:r w:rsidRPr="00D7475A">
        <w:rPr>
          <w:rFonts w:ascii="Arial" w:eastAsia="Times New Roman" w:hAnsi="Arial" w:cs="Arial"/>
          <w:sz w:val="24"/>
          <w:szCs w:val="24"/>
          <w:lang w:val="es-MX" w:eastAsia="es-CO"/>
        </w:rPr>
        <w:t>Este indicador mide la capacidad que tiene la Universidad de financiar el funcionamiento con sus rentas propias, para el año 2014 se destaca el mejoramiento del indicador, lo cual tiene su origen en el fortalecimiento de la venta de servicios.</w:t>
      </w:r>
    </w:p>
    <w:p w:rsidR="004662E1" w:rsidRPr="009D3523" w:rsidRDefault="004662E1" w:rsidP="004662E1">
      <w:pPr>
        <w:spacing w:line="276" w:lineRule="auto"/>
        <w:jc w:val="center"/>
        <w:rPr>
          <w:rFonts w:ascii="Arial" w:eastAsia="Times New Roman" w:hAnsi="Arial" w:cs="Arial"/>
          <w:i/>
          <w:sz w:val="16"/>
          <w:szCs w:val="20"/>
          <w:lang w:bidi="en-US"/>
        </w:rPr>
      </w:pPr>
    </w:p>
    <w:p w:rsidR="004662E1" w:rsidRPr="009D3523" w:rsidRDefault="004662E1" w:rsidP="004662E1">
      <w:pPr>
        <w:spacing w:line="276" w:lineRule="auto"/>
        <w:jc w:val="center"/>
        <w:rPr>
          <w:rFonts w:ascii="Arial Narrow" w:eastAsia="Times New Roman" w:hAnsi="Arial Narrow" w:cs="Arial"/>
          <w:b/>
          <w:sz w:val="18"/>
          <w:szCs w:val="26"/>
          <w:lang w:bidi="en-US"/>
        </w:rPr>
      </w:pPr>
      <w:bookmarkStart w:id="33" w:name="_Toc438487378"/>
      <w:r w:rsidRPr="00D7475A">
        <w:rPr>
          <w:rFonts w:ascii="Arial" w:eastAsia="Times New Roman" w:hAnsi="Arial" w:cs="Arial"/>
          <w:i/>
          <w:sz w:val="20"/>
          <w:szCs w:val="20"/>
          <w:lang w:bidi="en-US"/>
        </w:rPr>
        <w:t xml:space="preserve">Gráfica </w:t>
      </w:r>
      <w:r w:rsidR="00BA1456">
        <w:rPr>
          <w:rFonts w:ascii="Arial" w:eastAsia="Times New Roman" w:hAnsi="Arial" w:cs="Arial"/>
          <w:i/>
          <w:sz w:val="20"/>
          <w:szCs w:val="20"/>
          <w:lang w:bidi="en-US"/>
        </w:rPr>
        <w:t>23</w:t>
      </w:r>
      <w:r w:rsidRPr="00D7475A">
        <w:rPr>
          <w:rFonts w:ascii="Arial" w:eastAsia="Times New Roman" w:hAnsi="Arial" w:cs="Arial"/>
          <w:i/>
          <w:sz w:val="20"/>
          <w:szCs w:val="20"/>
          <w:lang w:bidi="en-US"/>
        </w:rPr>
        <w:t xml:space="preserve"> – Desempeño </w:t>
      </w:r>
      <w:proofErr w:type="gramStart"/>
      <w:r w:rsidRPr="00D7475A">
        <w:rPr>
          <w:rFonts w:ascii="Arial" w:eastAsia="Times New Roman" w:hAnsi="Arial" w:cs="Arial"/>
          <w:i/>
          <w:sz w:val="20"/>
          <w:szCs w:val="20"/>
          <w:lang w:bidi="en-US"/>
        </w:rPr>
        <w:t>Financiero  2011</w:t>
      </w:r>
      <w:proofErr w:type="gramEnd"/>
      <w:r w:rsidRPr="00D7475A">
        <w:rPr>
          <w:rFonts w:ascii="Arial" w:eastAsia="Times New Roman" w:hAnsi="Arial" w:cs="Arial"/>
          <w:i/>
          <w:sz w:val="20"/>
          <w:szCs w:val="20"/>
          <w:lang w:bidi="en-US"/>
        </w:rPr>
        <w:t xml:space="preserve"> - 2015</w:t>
      </w:r>
      <w:bookmarkEnd w:id="33"/>
    </w:p>
    <w:p w:rsidR="004662E1" w:rsidRPr="00D7475A" w:rsidRDefault="004662E1" w:rsidP="004662E1">
      <w:pPr>
        <w:jc w:val="center"/>
        <w:rPr>
          <w:rFonts w:ascii="Arial Narrow" w:eastAsia="Times New Roman" w:hAnsi="Arial Narrow" w:cs="Arial"/>
          <w:b/>
          <w:sz w:val="26"/>
          <w:szCs w:val="26"/>
          <w:lang w:bidi="en-US"/>
        </w:rPr>
      </w:pPr>
      <w:r w:rsidRPr="00D7475A">
        <w:rPr>
          <w:rFonts w:ascii="Arial Narrow" w:eastAsia="Times New Roman" w:hAnsi="Arial Narrow" w:cs="Arial"/>
          <w:b/>
          <w:noProof/>
          <w:sz w:val="26"/>
          <w:szCs w:val="26"/>
          <w:lang w:eastAsia="es-CO"/>
        </w:rPr>
        <w:drawing>
          <wp:inline distT="0" distB="0" distL="0" distR="0" wp14:anchorId="4B78AA92" wp14:editId="6F3472AF">
            <wp:extent cx="4589100" cy="2960298"/>
            <wp:effectExtent l="0" t="0" r="254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13431" cy="2975993"/>
                    </a:xfrm>
                    <a:prstGeom prst="rect">
                      <a:avLst/>
                    </a:prstGeom>
                    <a:noFill/>
                  </pic:spPr>
                </pic:pic>
              </a:graphicData>
            </a:graphic>
          </wp:inline>
        </w:drawing>
      </w:r>
    </w:p>
    <w:p w:rsidR="004662E1" w:rsidRPr="00D7475A" w:rsidRDefault="004662E1" w:rsidP="004662E1">
      <w:pPr>
        <w:spacing w:line="276" w:lineRule="auto"/>
        <w:rPr>
          <w:rFonts w:ascii="Arial" w:eastAsia="Times New Roman" w:hAnsi="Arial" w:cs="Arial"/>
          <w:i/>
          <w:sz w:val="20"/>
          <w:szCs w:val="20"/>
          <w:lang w:bidi="en-US"/>
        </w:rPr>
      </w:pPr>
      <w:r w:rsidRPr="00D7475A">
        <w:rPr>
          <w:rFonts w:ascii="Arial" w:eastAsia="Times New Roman" w:hAnsi="Arial" w:cs="Arial"/>
          <w:i/>
          <w:sz w:val="20"/>
          <w:szCs w:val="20"/>
          <w:lang w:bidi="en-US"/>
        </w:rPr>
        <w:t xml:space="preserve">Fuente: </w:t>
      </w:r>
      <w:proofErr w:type="spellStart"/>
      <w:r w:rsidRPr="00D7475A">
        <w:rPr>
          <w:rFonts w:ascii="Arial" w:eastAsia="Times New Roman" w:hAnsi="Arial" w:cs="Arial"/>
          <w:i/>
          <w:sz w:val="20"/>
          <w:szCs w:val="20"/>
          <w:lang w:bidi="en-US"/>
        </w:rPr>
        <w:t>Macroproceso</w:t>
      </w:r>
      <w:proofErr w:type="spellEnd"/>
      <w:r w:rsidRPr="00D7475A">
        <w:rPr>
          <w:rFonts w:ascii="Arial" w:eastAsia="Times New Roman" w:hAnsi="Arial" w:cs="Arial"/>
          <w:i/>
          <w:sz w:val="20"/>
          <w:szCs w:val="20"/>
          <w:lang w:bidi="en-US"/>
        </w:rPr>
        <w:t xml:space="preserve"> Financiero</w:t>
      </w:r>
    </w:p>
    <w:p w:rsidR="006C14F4" w:rsidRDefault="006C14F4" w:rsidP="006C14F4">
      <w:pPr>
        <w:rPr>
          <w:rFonts w:ascii="Arial" w:hAnsi="Arial" w:cs="Arial"/>
          <w:b/>
        </w:rPr>
      </w:pPr>
    </w:p>
    <w:p w:rsidR="006C14F4" w:rsidRPr="006C14F4" w:rsidRDefault="006C14F4" w:rsidP="006C14F4">
      <w:pPr>
        <w:rPr>
          <w:rFonts w:ascii="Arial" w:hAnsi="Arial" w:cs="Arial"/>
          <w:b/>
        </w:rPr>
      </w:pPr>
    </w:p>
    <w:sectPr w:rsidR="006C14F4" w:rsidRPr="006C14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53318A"/>
    <w:multiLevelType w:val="hybridMultilevel"/>
    <w:tmpl w:val="6292E6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F0F"/>
    <w:rsid w:val="00133015"/>
    <w:rsid w:val="00224F0F"/>
    <w:rsid w:val="00253F55"/>
    <w:rsid w:val="00413F6A"/>
    <w:rsid w:val="004662E1"/>
    <w:rsid w:val="006B5E9A"/>
    <w:rsid w:val="006C14F4"/>
    <w:rsid w:val="008D0BB3"/>
    <w:rsid w:val="00AD01AA"/>
    <w:rsid w:val="00BA1456"/>
    <w:rsid w:val="00BE61FF"/>
    <w:rsid w:val="00EF3A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5E01984B-FB7E-4462-B679-73C993B16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24F0F"/>
    <w:pPr>
      <w:ind w:left="720"/>
      <w:contextualSpacing/>
    </w:pPr>
  </w:style>
  <w:style w:type="paragraph" w:styleId="Textoindependiente2">
    <w:name w:val="Body Text 2"/>
    <w:basedOn w:val="Normal"/>
    <w:link w:val="Textoindependiente2Car"/>
    <w:rsid w:val="00BE61FF"/>
    <w:pPr>
      <w:jc w:val="both"/>
    </w:pPr>
    <w:rPr>
      <w:rFonts w:ascii="Comic Sans MS" w:eastAsia="Times New Roman" w:hAnsi="Comic Sans MS" w:cs="Times New Roman"/>
      <w:sz w:val="36"/>
      <w:szCs w:val="24"/>
      <w:lang w:eastAsia="es-ES"/>
    </w:rPr>
  </w:style>
  <w:style w:type="character" w:customStyle="1" w:styleId="Textoindependiente2Car">
    <w:name w:val="Texto independiente 2 Car"/>
    <w:basedOn w:val="Fuentedeprrafopredeter"/>
    <w:link w:val="Textoindependiente2"/>
    <w:rsid w:val="00BE61FF"/>
    <w:rPr>
      <w:rFonts w:ascii="Comic Sans MS" w:eastAsia="Times New Roman" w:hAnsi="Comic Sans MS" w:cs="Times New Roman"/>
      <w:sz w:val="36"/>
      <w:szCs w:val="24"/>
      <w:lang w:eastAsia="es-ES"/>
    </w:rPr>
  </w:style>
  <w:style w:type="paragraph" w:customStyle="1" w:styleId="notatabla">
    <w:name w:val="nota tabla"/>
    <w:basedOn w:val="Textoindependiente2"/>
    <w:link w:val="notatablaCar"/>
    <w:qFormat/>
    <w:rsid w:val="008D0BB3"/>
    <w:pPr>
      <w:spacing w:before="240" w:line="360" w:lineRule="auto"/>
      <w:jc w:val="left"/>
    </w:pPr>
    <w:rPr>
      <w:rFonts w:ascii="Calibri" w:eastAsia="Calibri" w:hAnsi="Calibri" w:cs="Arial"/>
      <w:sz w:val="18"/>
    </w:rPr>
  </w:style>
  <w:style w:type="character" w:customStyle="1" w:styleId="notatablaCar">
    <w:name w:val="nota tabla Car"/>
    <w:basedOn w:val="Textoindependiente2Car"/>
    <w:link w:val="notatabla"/>
    <w:rsid w:val="008D0BB3"/>
    <w:rPr>
      <w:rFonts w:ascii="Calibri" w:eastAsia="Calibri" w:hAnsi="Calibri" w:cs="Arial"/>
      <w:sz w:val="18"/>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 Type="http://schemas.openxmlformats.org/officeDocument/2006/relationships/settings" Target="settings.xml"/><Relationship Id="rId21" Type="http://schemas.openxmlformats.org/officeDocument/2006/relationships/chart" Target="charts/chart12.xml"/><Relationship Id="rId34" Type="http://schemas.openxmlformats.org/officeDocument/2006/relationships/fontTable" Target="fontTable.xml"/><Relationship Id="rId7" Type="http://schemas.openxmlformats.org/officeDocument/2006/relationships/image" Target="media/image3.emf"/><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image" Target="media/image9.png"/><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chart" Target="charts/chart20.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emf"/><Relationship Id="rId24" Type="http://schemas.openxmlformats.org/officeDocument/2006/relationships/chart" Target="charts/chart15.xml"/><Relationship Id="rId32" Type="http://schemas.openxmlformats.org/officeDocument/2006/relationships/image" Target="media/image8.png"/><Relationship Id="rId5" Type="http://schemas.openxmlformats.org/officeDocument/2006/relationships/image" Target="media/image1.png"/><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10" Type="http://schemas.openxmlformats.org/officeDocument/2006/relationships/chart" Target="charts/chart2.xml"/><Relationship Id="rId19" Type="http://schemas.openxmlformats.org/officeDocument/2006/relationships/chart" Target="charts/chart10.xm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image" Target="media/image6.png"/><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D:\102-600%20PROYECTOS%20UQ\102-600.07%20Proyectos%20de%20Inversion%202015\Seguimiento%20POAI%202015\E.PE-02.01.F.02%20Seguimiento%20POAI%20%2007-Dic-15.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102-600%20PROYECTOS%20UQ\102-600.07%20Proyectos%20de%20Inversion%202015\Seguimiento%20POAI%202015\E.PE-02.01.F.02%20Seguimiento%20POAI%20%2007-Dic-15.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E:\002%20Planeacion%20UQ\102-600.07%20Proyectos%20de%20Inversion%202015\Informe%20de%20Gesti&#243;n%202008-2015\Inversi&#243;n%20An&#225;lisis%20POAI%202008-2015.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D:\102-600%20PROYECTOS%20UQ\102-600.07%20Proyectos%20de%20Inversion%202015\Informe%20de%20Gesti&#243;n%202008-2015\Inversi&#243;n%20An&#225;lisis%20POAI%202008-2015.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D:\102-600%20PROYECTOS%20UQ\102-600.07%20Proyectos%20de%20Inversion%202015\Informe%20de%20Gesti&#243;n%202008-2015\Inversi&#243;n%20An&#225;lisis%20POAI%202008-2015.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E:\002%20Planeacion%20UQ\102-600.07%20Proyectos%20de%20Inversion%202015\Informe%20de%20Gesti&#243;n%202008-2015\Inversi&#243;n%20An&#225;lisis%20POAI%202008-2015.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D:\102-600%20PROYECTOS%20UQ\102-600.07%20Proyectos%20de%20Inversion%202015\Informe%20de%20Gesti&#243;n%202008-2015\Inversi&#243;n%20An&#225;lisis%20POAI%202008-2015.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E:\002%20Planeacion%20UQ\102-600.07%20Proyectos%20de%20Inversion%202015\Informe%20de%20Gesti&#243;n%202008-2015\Inversi&#243;n%20An&#225;lisis%20POAI%202008-2015.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D:\102-600%20PROYECTOS%20UQ\102-600.07%20Proyectos%20de%20Inversion%202015\Informe%20de%20Gesti&#243;n%202008-2015\Inversi&#243;n%20An&#225;lisis%20POAI%202008-2015.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E:\002%20Planeacion%20UQ\102-600.07%20Proyectos%20de%20Inversion%202015\Informe%20de%20Gesti&#243;n%202008-2015\Inversi&#243;n%20An&#225;lisis%20POAI%202008-2015.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D:\102-600%20PROYECTOS%20UQ\102-600.07%20Proyectos%20de%20Inversion%202015\Informe%20de%20Gesti&#243;n%202008-2015\Inversi&#243;n%20An&#225;lisis%20POAI%202008-2015.xlsx"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E:\002%20Planeacion%20UQ\102-600.07%20Proyectos%20de%20Inversion%202015\Informe%20de%20Gesti&#243;n%202008-2015\Inversi&#243;n%20An&#225;lisis%20POAI%202008-2015.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D:\102-600%20PROYECTOS%20UQ\102-600.07%20Proyectos%20de%20Inversion%202015\Informe%20de%20Gesti&#243;n%202008-2015\Inversi&#243;n%20An&#225;lisis%20POAI%202008-2015.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file:///E:\002%20Planeacion%20UQ\102-600.07%20Proyectos%20de%20Inversion%202015\Informe%20de%20Gesti&#243;n%202008-2015\Inversi&#243;n%20An&#225;lisis%20POAI%202008-2015.xlsx" TargetMode="Externa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file:///D:\102-600%20PROYECTOS%20UQ\102-600.07%20Proyectos%20de%20Inversion%202015\Informe%20de%20Gesti&#243;n%202008-2015\Inversi&#243;n%20An&#225;lisis%20POAI%202008-2015.xlsx" TargetMode="Externa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file:///E:\002%20Planeacion%20UQ\102-600.07%20Proyectos%20de%20Inversion%202015\Informe%20de%20Gesti&#243;n%202008-2015\Inversi&#243;n%20An&#225;lisis%20POAI%202008-2015.xlsx" TargetMode="External"/></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file:///D:\102-600%20PROYECTOS%20UQ\102-600.07%20Proyectos%20de%20Inversion%202015\Informe%20de%20Gesti&#243;n%202008-2015\Inversi&#243;n%20An&#225;lisis%20POAI%202008-2015.xlsx" TargetMode="Externa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oleObject" Target="file:///E:\002%20Planeacion%20UQ\102-600.07%20Proyectos%20de%20Inversion%202015\Informe%20de%20Gesti&#243;n%202008-2015\Inversi&#243;n%20An&#225;lisis%20POAI%202008-2015.xlsx" TargetMode="External"/></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file:///D:\102-600%20PROYECTOS%20UQ\102-600.07%20Proyectos%20de%20Inversion%202015\Informe%20de%20Gesti&#243;n%202008-2015\Inversi&#243;n%20An&#225;lisis%20POAI%202008-2015.xlsx" TargetMode="Externa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file:///E:\002%20Planeacion%20UQ\102-600.07%20Proyectos%20de%20Inversion%202015\Informe%20de%20Gesti&#243;n%202008-2015\Inversi&#243;n%20An&#225;lisis%20POAI%202008-201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s-ES" sz="1600" b="1" i="0" u="none" strike="noStrike" kern="1200" baseline="0">
                <a:solidFill>
                  <a:srgbClr val="009999"/>
                </a:solidFill>
                <a:latin typeface="Arial Narrow" panose="020B0606020202030204" pitchFamily="34" charset="0"/>
                <a:ea typeface="+mn-ea"/>
                <a:cs typeface="+mn-cs"/>
              </a:defRPr>
            </a:pPr>
            <a:r>
              <a:rPr lang="en-US">
                <a:solidFill>
                  <a:srgbClr val="009999"/>
                </a:solidFill>
                <a:latin typeface="Arial Narrow" panose="020B0606020202030204" pitchFamily="34" charset="0"/>
              </a:rPr>
              <a:t>EJECUCIÓN POAI 07-DIC-2015</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'Resumen POAI'!$C$23</c:f>
              <c:strCache>
                <c:ptCount val="1"/>
                <c:pt idx="0">
                  <c:v>PRESUPUESTO</c:v>
                </c:pt>
              </c:strCache>
            </c:strRef>
          </c:tx>
          <c:spPr>
            <a:solidFill>
              <a:srgbClr val="009999"/>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4.0912130829144688E-2"/>
                  <c:y val="-0.1226246892436677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F7C-4B8B-A401-3B492D2A5961}"/>
                </c:ext>
              </c:extLst>
            </c:dLbl>
            <c:dLbl>
              <c:idx val="1"/>
              <c:layout>
                <c:manualLayout>
                  <c:x val="3.0610941625157345E-2"/>
                  <c:y val="-0.1038622475802514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7C-4B8B-A401-3B492D2A5961}"/>
                </c:ext>
              </c:extLst>
            </c:dLbl>
            <c:dLbl>
              <c:idx val="2"/>
              <c:layout>
                <c:manualLayout>
                  <c:x val="3.6331788648949953E-2"/>
                  <c:y val="-7.13082320422497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F7C-4B8B-A401-3B492D2A5961}"/>
                </c:ext>
              </c:extLst>
            </c:dLbl>
            <c:dLbl>
              <c:idx val="3"/>
              <c:layout>
                <c:manualLayout>
                  <c:x val="0.11162792201598271"/>
                  <c:y val="-1.92820033073330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F7C-4B8B-A401-3B492D2A5961}"/>
                </c:ext>
              </c:extLst>
            </c:dLbl>
            <c:spPr>
              <a:noFill/>
              <a:ln>
                <a:noFill/>
              </a:ln>
              <a:effectLst/>
            </c:spPr>
            <c:txPr>
              <a:bodyPr rot="0" spcFirstLastPara="1" vertOverflow="ellipsis" vert="horz" wrap="square" lIns="38100" tIns="19050" rIns="38100" bIns="19050" anchor="ctr" anchorCtr="1">
                <a:spAutoFit/>
              </a:bodyPr>
              <a:lstStyle/>
              <a:p>
                <a:pPr>
                  <a:defRPr lang="es-ES" sz="14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'Resumen POAI'!$B$24:$B$27</c:f>
              <c:strCache>
                <c:ptCount val="4"/>
                <c:pt idx="0">
                  <c:v>Excelencia Académica (Pilar 1 y 2)</c:v>
                </c:pt>
                <c:pt idx="1">
                  <c:v>Proyección Social       (Pilar 3 y 4)</c:v>
                </c:pt>
                <c:pt idx="2">
                  <c:v>Gestión de la Calidad (Pilar 5, 6, 7 y 8)</c:v>
                </c:pt>
                <c:pt idx="3">
                  <c:v>TOTAL (*Cifras en Mill. $)</c:v>
                </c:pt>
              </c:strCache>
            </c:strRef>
          </c:cat>
          <c:val>
            <c:numRef>
              <c:f>'Resumen POAI'!$C$24:$C$27</c:f>
              <c:numCache>
                <c:formatCode>_("$"\ * #,##0_);_("$"\ * \(#,##0\);_("$"\ * "-"??_);_(@_)</c:formatCode>
                <c:ptCount val="4"/>
                <c:pt idx="0">
                  <c:v>8768.20276921</c:v>
                </c:pt>
                <c:pt idx="1">
                  <c:v>347.11629099999999</c:v>
                </c:pt>
                <c:pt idx="2">
                  <c:v>22155.709896640001</c:v>
                </c:pt>
                <c:pt idx="3">
                  <c:v>31271.028956850001</c:v>
                </c:pt>
              </c:numCache>
            </c:numRef>
          </c:val>
          <c:extLst>
            <c:ext xmlns:c16="http://schemas.microsoft.com/office/drawing/2014/chart" uri="{C3380CC4-5D6E-409C-BE32-E72D297353CC}">
              <c16:uniqueId val="{00000004-9F7C-4B8B-A401-3B492D2A5961}"/>
            </c:ext>
          </c:extLst>
        </c:ser>
        <c:ser>
          <c:idx val="2"/>
          <c:order val="1"/>
          <c:tx>
            <c:strRef>
              <c:f>'Resumen POAI'!$D$23</c:f>
              <c:strCache>
                <c:ptCount val="1"/>
                <c:pt idx="0">
                  <c:v>COMPROMISOS</c:v>
                </c:pt>
              </c:strCache>
            </c:strRef>
          </c:tx>
          <c:spPr>
            <a:solidFill>
              <a:srgbClr val="99FF33"/>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5.4205326439647102E-2"/>
                  <c:y val="-8.95520988834852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F7C-4B8B-A401-3B492D2A5961}"/>
                </c:ext>
              </c:extLst>
            </c:dLbl>
            <c:dLbl>
              <c:idx val="1"/>
              <c:layout>
                <c:manualLayout>
                  <c:x val="3.501003173617738E-2"/>
                  <c:y val="-4.1346350498850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F7C-4B8B-A401-3B492D2A5961}"/>
                </c:ext>
              </c:extLst>
            </c:dLbl>
            <c:dLbl>
              <c:idx val="2"/>
              <c:layout>
                <c:manualLayout>
                  <c:x val="4.431747817834665E-2"/>
                  <c:y val="-0.101259258546554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F7C-4B8B-A401-3B492D2A5961}"/>
                </c:ext>
              </c:extLst>
            </c:dLbl>
            <c:dLbl>
              <c:idx val="3"/>
              <c:layout>
                <c:manualLayout>
                  <c:x val="5.1644983781622335E-2"/>
                  <c:y val="-9.7677835761778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F7C-4B8B-A401-3B492D2A5961}"/>
                </c:ext>
              </c:extLst>
            </c:dLbl>
            <c:spPr>
              <a:noFill/>
              <a:ln>
                <a:noFill/>
              </a:ln>
              <a:effectLst/>
            </c:spPr>
            <c:txPr>
              <a:bodyPr rot="0" spcFirstLastPara="1" vertOverflow="ellipsis" vert="horz" wrap="square" lIns="38100" tIns="19050" rIns="38100" bIns="19050" anchor="ctr" anchorCtr="1">
                <a:spAutoFit/>
              </a:bodyPr>
              <a:lstStyle/>
              <a:p>
                <a:pPr>
                  <a:defRPr lang="es-ES" sz="1400" b="0" i="0" u="none" strike="noStrike" kern="1200" baseline="0">
                    <a:solidFill>
                      <a:schemeClr val="tx1">
                        <a:lumMod val="75000"/>
                        <a:lumOff val="25000"/>
                      </a:schemeClr>
                    </a:solidFill>
                    <a:latin typeface="Arial Narrow" panose="020B0606020202030204" pitchFamily="34" charset="0"/>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'Resumen POAI'!$B$24:$B$27</c:f>
              <c:strCache>
                <c:ptCount val="4"/>
                <c:pt idx="0">
                  <c:v>Excelencia Académica (Pilar 1 y 2)</c:v>
                </c:pt>
                <c:pt idx="1">
                  <c:v>Proyección Social       (Pilar 3 y 4)</c:v>
                </c:pt>
                <c:pt idx="2">
                  <c:v>Gestión de la Calidad (Pilar 5, 6, 7 y 8)</c:v>
                </c:pt>
                <c:pt idx="3">
                  <c:v>TOTAL (*Cifras en Mill. $)</c:v>
                </c:pt>
              </c:strCache>
            </c:strRef>
          </c:cat>
          <c:val>
            <c:numRef>
              <c:f>'Resumen POAI'!$D$24:$D$27</c:f>
              <c:numCache>
                <c:formatCode>_("$"\ * #,##0_);_("$"\ * \(#,##0\);_("$"\ * "-"??_);_(@_)</c:formatCode>
                <c:ptCount val="4"/>
                <c:pt idx="0">
                  <c:v>5467.9984183899996</c:v>
                </c:pt>
                <c:pt idx="1">
                  <c:v>189.59685500000001</c:v>
                </c:pt>
                <c:pt idx="2">
                  <c:v>10190.462614869999</c:v>
                </c:pt>
                <c:pt idx="3">
                  <c:v>15848.057888259998</c:v>
                </c:pt>
              </c:numCache>
            </c:numRef>
          </c:val>
          <c:extLst>
            <c:ext xmlns:c16="http://schemas.microsoft.com/office/drawing/2014/chart" uri="{C3380CC4-5D6E-409C-BE32-E72D297353CC}">
              <c16:uniqueId val="{00000009-9F7C-4B8B-A401-3B492D2A5961}"/>
            </c:ext>
          </c:extLst>
        </c:ser>
        <c:dLbls>
          <c:showLegendKey val="0"/>
          <c:showVal val="1"/>
          <c:showCatName val="0"/>
          <c:showSerName val="0"/>
          <c:showPercent val="0"/>
          <c:showBubbleSize val="0"/>
        </c:dLbls>
        <c:gapWidth val="150"/>
        <c:shape val="box"/>
        <c:axId val="375588080"/>
        <c:axId val="375582592"/>
        <c:axId val="0"/>
      </c:bar3DChart>
      <c:catAx>
        <c:axId val="37558808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15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crossAx val="375582592"/>
        <c:crosses val="autoZero"/>
        <c:auto val="1"/>
        <c:lblAlgn val="ctr"/>
        <c:lblOffset val="100"/>
        <c:noMultiLvlLbl val="0"/>
      </c:catAx>
      <c:valAx>
        <c:axId val="375582592"/>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 #,##0_);_(&quot;$&quot;\ * \(#,##0\);_(&quot;$&quot;\ * &quot;-&quot;??_);_(@_)" sourceLinked="1"/>
        <c:majorTickMark val="none"/>
        <c:minorTickMark val="none"/>
        <c:tickLblPos val="nextTo"/>
        <c:spPr>
          <a:noFill/>
          <a:ln>
            <a:noFill/>
          </a:ln>
          <a:effectLst/>
        </c:spPr>
        <c:txPr>
          <a:bodyPr rot="-60000000" spcFirstLastPara="1" vertOverflow="ellipsis" vert="horz" wrap="square" anchor="ctr" anchorCtr="1"/>
          <a:lstStyle/>
          <a:p>
            <a:pPr>
              <a:defRPr lang="es-ES" sz="1200" b="0" i="0" u="none" strike="noStrike" kern="1200" baseline="0">
                <a:solidFill>
                  <a:schemeClr val="tx1">
                    <a:lumMod val="65000"/>
                    <a:lumOff val="35000"/>
                  </a:schemeClr>
                </a:solidFill>
                <a:latin typeface="+mn-lt"/>
                <a:ea typeface="+mn-ea"/>
                <a:cs typeface="+mn-cs"/>
              </a:defRPr>
            </a:pPr>
            <a:endParaRPr lang="es-CO"/>
          </a:p>
        </c:txPr>
        <c:crossAx val="375588080"/>
        <c:crosses val="autoZero"/>
        <c:crossBetween val="between"/>
      </c:valAx>
      <c:spPr>
        <a:noFill/>
        <a:ln>
          <a:noFill/>
        </a:ln>
        <a:effectLst/>
      </c:spPr>
    </c:plotArea>
    <c:legend>
      <c:legendPos val="b"/>
      <c:layout>
        <c:manualLayout>
          <c:xMode val="edge"/>
          <c:yMode val="edge"/>
          <c:x val="0.16907369055259963"/>
          <c:y val="0.92360966603312522"/>
          <c:w val="0.68011201341947936"/>
          <c:h val="5.9838609828943796E-2"/>
        </c:manualLayout>
      </c:layout>
      <c:overlay val="0"/>
      <c:spPr>
        <a:noFill/>
        <a:ln>
          <a:noFill/>
        </a:ln>
        <a:effectLst/>
      </c:spPr>
      <c:txPr>
        <a:bodyPr rot="0" spcFirstLastPara="1" vertOverflow="ellipsis" vert="horz" wrap="square" anchor="ctr" anchorCtr="1"/>
        <a:lstStyle/>
        <a:p>
          <a:pPr>
            <a:defRPr lang="es-ES" sz="1500" b="0" i="0" u="none" strike="noStrike" kern="1200" baseline="0">
              <a:solidFill>
                <a:schemeClr val="tx1">
                  <a:lumMod val="65000"/>
                  <a:lumOff val="35000"/>
                </a:schemeClr>
              </a:solidFill>
              <a:latin typeface="Arial Narrow" panose="020B0606020202030204" pitchFamily="34" charset="0"/>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851043800926973"/>
          <c:y val="2.7486534078392477E-2"/>
          <c:w val="0.76666030477384062"/>
          <c:h val="0.49979539270024381"/>
        </c:manualLayout>
      </c:layout>
      <c:bar3DChart>
        <c:barDir val="col"/>
        <c:grouping val="clustered"/>
        <c:varyColors val="0"/>
        <c:ser>
          <c:idx val="0"/>
          <c:order val="0"/>
          <c:tx>
            <c:v>Presupuesto</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1.295896548680558E-3"/>
                  <c:y val="-8.47583543882733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531-4753-96A0-06ACA42C067A}"/>
                </c:ext>
              </c:extLst>
            </c:dLbl>
            <c:dLbl>
              <c:idx val="1"/>
              <c:layout>
                <c:manualLayout>
                  <c:x val="3.8876896460416739E-3"/>
                  <c:y val="-5.79925582656607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531-4753-96A0-06ACA42C067A}"/>
                </c:ext>
              </c:extLst>
            </c:dLbl>
            <c:dLbl>
              <c:idx val="2"/>
              <c:layout>
                <c:manualLayout>
                  <c:x val="1.0367172389444464E-2"/>
                  <c:y val="-9.36802864291442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531-4753-96A0-06ACA42C067A}"/>
                </c:ext>
              </c:extLst>
            </c:dLbl>
            <c:dLbl>
              <c:idx val="3"/>
              <c:layout>
                <c:manualLayout>
                  <c:x val="6.4794827434027898E-3"/>
                  <c:y val="-9.59107694393620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531-4753-96A0-06ACA42C067A}"/>
                </c:ext>
              </c:extLst>
            </c:dLbl>
            <c:dLbl>
              <c:idx val="4"/>
              <c:layout>
                <c:manualLayout>
                  <c:x val="1.295896548680558E-3"/>
                  <c:y val="-8.69888373984911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531-4753-96A0-06ACA42C067A}"/>
                </c:ext>
              </c:extLst>
            </c:dLbl>
            <c:dLbl>
              <c:idx val="5"/>
              <c:layout>
                <c:manualLayout>
                  <c:x val="1.814255168152781E-2"/>
                  <c:y val="-7.58364223474024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531-4753-96A0-06ACA42C067A}"/>
                </c:ext>
              </c:extLst>
            </c:dLbl>
            <c:dLbl>
              <c:idx val="6"/>
              <c:layout>
                <c:manualLayout>
                  <c:x val="2.3326137876250042E-2"/>
                  <c:y val="-6.02230412758784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531-4753-96A0-06ACA42C067A}"/>
                </c:ext>
              </c:extLst>
            </c:dLbl>
            <c:dLbl>
              <c:idx val="7"/>
              <c:layout>
                <c:manualLayout>
                  <c:x val="1.943844823020837E-2"/>
                  <c:y val="-1.56133810715240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531-4753-96A0-06ACA42C067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'Gráfica x Pilar'!$B$9:$B$18</c:f>
              <c:strCache>
                <c:ptCount val="8"/>
                <c:pt idx="0">
                  <c:v>Gestión de la Alta Calidad de la Educación</c:v>
                </c:pt>
                <c:pt idx="1">
                  <c:v>Fomento a la Investigación</c:v>
                </c:pt>
                <c:pt idx="2">
                  <c:v>Extensión y Relaciones con el Medio</c:v>
                </c:pt>
                <c:pt idx="3">
                  <c:v>Internacionalización</c:v>
                </c:pt>
                <c:pt idx="4">
                  <c:v>Bienestar Uniquindiano</c:v>
                </c:pt>
                <c:pt idx="5">
                  <c:v>Gestión y Desarrollo Institucional</c:v>
                </c:pt>
                <c:pt idx="6">
                  <c:v>Desarrollo Tecnológico</c:v>
                </c:pt>
                <c:pt idx="7">
                  <c:v>Infraestructura Física y Dotación</c:v>
                </c:pt>
              </c:strCache>
            </c:strRef>
          </c:cat>
          <c:val>
            <c:numRef>
              <c:f>'Gráfica x Pilar'!$F$9:$F$18</c:f>
              <c:numCache>
                <c:formatCode>_("$"\ * #,##0_);_("$"\ * \(#,##0\);_("$"\ * "-"??_);_(@_)</c:formatCode>
                <c:ptCount val="8"/>
                <c:pt idx="0">
                  <c:v>1955.9340514500002</c:v>
                </c:pt>
                <c:pt idx="1">
                  <c:v>6812.2687177600001</c:v>
                </c:pt>
                <c:pt idx="2">
                  <c:v>110.63184099999999</c:v>
                </c:pt>
                <c:pt idx="3">
                  <c:v>236.48445000000001</c:v>
                </c:pt>
                <c:pt idx="4">
                  <c:v>2868.58691</c:v>
                </c:pt>
                <c:pt idx="5">
                  <c:v>176.248774</c:v>
                </c:pt>
                <c:pt idx="6">
                  <c:v>2410.33534465</c:v>
                </c:pt>
                <c:pt idx="7">
                  <c:v>16700.538867990002</c:v>
                </c:pt>
              </c:numCache>
            </c:numRef>
          </c:val>
          <c:extLst>
            <c:ext xmlns:c16="http://schemas.microsoft.com/office/drawing/2014/chart" uri="{C3380CC4-5D6E-409C-BE32-E72D297353CC}">
              <c16:uniqueId val="{00000008-0531-4753-96A0-06ACA42C067A}"/>
            </c:ext>
          </c:extLst>
        </c:ser>
        <c:ser>
          <c:idx val="1"/>
          <c:order val="1"/>
          <c:tx>
            <c:v>Ejecución</c:v>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1.4254862035486137E-2"/>
                  <c:y val="-4.684014321457211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531-4753-96A0-06ACA42C067A}"/>
                </c:ext>
              </c:extLst>
            </c:dLbl>
            <c:dLbl>
              <c:idx val="1"/>
              <c:layout>
                <c:manualLayout>
                  <c:x val="5.3131758495902827E-2"/>
                  <c:y val="-9.59107694393619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531-4753-96A0-06ACA42C067A}"/>
                </c:ext>
              </c:extLst>
            </c:dLbl>
            <c:dLbl>
              <c:idx val="2"/>
              <c:layout>
                <c:manualLayout>
                  <c:x val="1.2958965486805531E-2"/>
                  <c:y val="-3.56877281634835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531-4753-96A0-06ACA42C067A}"/>
                </c:ext>
              </c:extLst>
            </c:dLbl>
            <c:dLbl>
              <c:idx val="3"/>
              <c:layout>
                <c:manualLayout>
                  <c:x val="1.6846655132847253E-2"/>
                  <c:y val="-3.12267621430480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531-4753-96A0-06ACA42C067A}"/>
                </c:ext>
              </c:extLst>
            </c:dLbl>
            <c:dLbl>
              <c:idx val="4"/>
              <c:layout>
                <c:manualLayout>
                  <c:x val="1.943844823020837E-2"/>
                  <c:y val="-5.57620752554429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531-4753-96A0-06ACA42C067A}"/>
                </c:ext>
              </c:extLst>
            </c:dLbl>
            <c:dLbl>
              <c:idx val="5"/>
              <c:layout>
                <c:manualLayout>
                  <c:x val="1.6846655132847253E-2"/>
                  <c:y val="-3.34572451532658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0531-4753-96A0-06ACA42C067A}"/>
                </c:ext>
              </c:extLst>
            </c:dLbl>
            <c:dLbl>
              <c:idx val="6"/>
              <c:layout>
                <c:manualLayout>
                  <c:x val="1.9438448230208179E-2"/>
                  <c:y val="-5.35315922452253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0531-4753-96A0-06ACA42C067A}"/>
                </c:ext>
              </c:extLst>
            </c:dLbl>
            <c:dLbl>
              <c:idx val="7"/>
              <c:layout>
                <c:manualLayout>
                  <c:x val="4.1468689967961082E-2"/>
                  <c:y val="-4.460966020435479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0531-4753-96A0-06ACA42C067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'Gráfica x Pilar'!$B$9:$B$18</c:f>
              <c:strCache>
                <c:ptCount val="8"/>
                <c:pt idx="0">
                  <c:v>Gestión de la Alta Calidad de la Educación</c:v>
                </c:pt>
                <c:pt idx="1">
                  <c:v>Fomento a la Investigación</c:v>
                </c:pt>
                <c:pt idx="2">
                  <c:v>Extensión y Relaciones con el Medio</c:v>
                </c:pt>
                <c:pt idx="3">
                  <c:v>Internacionalización</c:v>
                </c:pt>
                <c:pt idx="4">
                  <c:v>Bienestar Uniquindiano</c:v>
                </c:pt>
                <c:pt idx="5">
                  <c:v>Gestión y Desarrollo Institucional</c:v>
                </c:pt>
                <c:pt idx="6">
                  <c:v>Desarrollo Tecnológico</c:v>
                </c:pt>
                <c:pt idx="7">
                  <c:v>Infraestructura Física y Dotación</c:v>
                </c:pt>
              </c:strCache>
            </c:strRef>
          </c:cat>
          <c:val>
            <c:numRef>
              <c:f>'Gráfica x Pilar'!$G$9:$G$18</c:f>
              <c:numCache>
                <c:formatCode>_("$"\ * #,##0_);_("$"\ * \(#,##0\);_("$"\ * "-"??_);_(@_)</c:formatCode>
                <c:ptCount val="8"/>
                <c:pt idx="0">
                  <c:v>1737.7851920000001</c:v>
                </c:pt>
                <c:pt idx="1">
                  <c:v>3730.2132263899998</c:v>
                </c:pt>
                <c:pt idx="2">
                  <c:v>42.978797</c:v>
                </c:pt>
                <c:pt idx="3">
                  <c:v>146.61805799999999</c:v>
                </c:pt>
                <c:pt idx="4">
                  <c:v>2511.5737388199996</c:v>
                </c:pt>
                <c:pt idx="5">
                  <c:v>165.98123699999999</c:v>
                </c:pt>
                <c:pt idx="6">
                  <c:v>888.53372363999995</c:v>
                </c:pt>
                <c:pt idx="7">
                  <c:v>6624.3739154099994</c:v>
                </c:pt>
              </c:numCache>
            </c:numRef>
          </c:val>
          <c:extLst>
            <c:ext xmlns:c16="http://schemas.microsoft.com/office/drawing/2014/chart" uri="{C3380CC4-5D6E-409C-BE32-E72D297353CC}">
              <c16:uniqueId val="{00000011-0531-4753-96A0-06ACA42C067A}"/>
            </c:ext>
          </c:extLst>
        </c:ser>
        <c:dLbls>
          <c:showLegendKey val="0"/>
          <c:showVal val="0"/>
          <c:showCatName val="0"/>
          <c:showSerName val="0"/>
          <c:showPercent val="0"/>
          <c:showBubbleSize val="0"/>
        </c:dLbls>
        <c:gapWidth val="150"/>
        <c:shape val="box"/>
        <c:axId val="375589256"/>
        <c:axId val="375581024"/>
        <c:axId val="0"/>
      </c:bar3DChart>
      <c:catAx>
        <c:axId val="375589256"/>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75581024"/>
        <c:crosses val="autoZero"/>
        <c:auto val="1"/>
        <c:lblAlgn val="ctr"/>
        <c:lblOffset val="100"/>
        <c:noMultiLvlLbl val="0"/>
      </c:catAx>
      <c:valAx>
        <c:axId val="375581024"/>
        <c:scaling>
          <c:orientation val="minMax"/>
          <c:max val="18000"/>
        </c:scaling>
        <c:delete val="0"/>
        <c:axPos val="l"/>
        <c:majorGridlines>
          <c:spPr>
            <a:ln w="9525" cap="flat" cmpd="sng" algn="ctr">
              <a:solidFill>
                <a:schemeClr val="tx1">
                  <a:lumMod val="15000"/>
                  <a:lumOff val="85000"/>
                </a:schemeClr>
              </a:solidFill>
              <a:round/>
            </a:ln>
            <a:effectLst/>
          </c:spPr>
        </c:majorGridlines>
        <c:numFmt formatCode="_(&quot;$&quot;\ * #,##0_);_(&quot;$&quot;\ * \(#,##0\);_(&quot;$&quot;\ *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75589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rgbClr val="A5A5A5">
          <a:lumMod val="75000"/>
        </a:srgbClr>
      </a:solidFill>
      <a:round/>
    </a:ln>
    <a:effectLst/>
  </c:spPr>
  <c:txPr>
    <a:bodyPr/>
    <a:lstStyle/>
    <a:p>
      <a:pPr>
        <a:defRPr/>
      </a:pPr>
      <a:endParaRPr lang="es-CO"/>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spc="0" baseline="0">
                <a:solidFill>
                  <a:schemeClr val="tx1">
                    <a:lumMod val="75000"/>
                    <a:lumOff val="25000"/>
                  </a:schemeClr>
                </a:solidFill>
                <a:latin typeface="+mn-lt"/>
                <a:ea typeface="+mn-ea"/>
                <a:cs typeface="+mn-cs"/>
              </a:defRPr>
            </a:pPr>
            <a:r>
              <a:rPr lang="es-CO" sz="1800" b="1">
                <a:solidFill>
                  <a:schemeClr val="tx1">
                    <a:lumMod val="75000"/>
                    <a:lumOff val="25000"/>
                  </a:schemeClr>
                </a:solidFill>
              </a:rPr>
              <a:t>CONSOLIDADO POAI 2008-2015: $76.831,22 </a:t>
            </a:r>
          </a:p>
        </c:rich>
      </c:tx>
      <c:layout>
        <c:manualLayout>
          <c:xMode val="edge"/>
          <c:yMode val="edge"/>
          <c:x val="0.13845637583892617"/>
          <c:y val="7.2344623479118714E-2"/>
        </c:manualLayout>
      </c:layout>
      <c:overlay val="0"/>
      <c:spPr>
        <a:noFill/>
        <a:ln>
          <a:noFill/>
        </a:ln>
        <a:effectLst/>
      </c:spPr>
      <c:txPr>
        <a:bodyPr rot="0" spcFirstLastPara="1" vertOverflow="ellipsis" vert="horz" wrap="square" anchor="ctr" anchorCtr="1"/>
        <a:lstStyle/>
        <a:p>
          <a:pPr>
            <a:defRPr sz="1800" b="1" i="0" u="none" strike="noStrike" kern="1200" spc="0" baseline="0">
              <a:solidFill>
                <a:schemeClr val="tx1">
                  <a:lumMod val="75000"/>
                  <a:lumOff val="25000"/>
                </a:schemeClr>
              </a:solidFill>
              <a:latin typeface="+mn-lt"/>
              <a:ea typeface="+mn-ea"/>
              <a:cs typeface="+mn-cs"/>
            </a:defRPr>
          </a:pPr>
          <a:endParaRPr lang="es-CO"/>
        </a:p>
      </c:txPr>
    </c:title>
    <c:autoTitleDeleted val="0"/>
    <c:plotArea>
      <c:layout>
        <c:manualLayout>
          <c:layoutTarget val="inner"/>
          <c:xMode val="edge"/>
          <c:yMode val="edge"/>
          <c:x val="0.12978937007874017"/>
          <c:y val="0.26035350678220487"/>
          <c:w val="0.8396550743657043"/>
          <c:h val="0.663367756778386"/>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AC0E-468B-BF5E-6D6752A63342}"/>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AC0E-468B-BF5E-6D6752A63342}"/>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AC0E-468B-BF5E-6D6752A63342}"/>
              </c:ext>
            </c:extLst>
          </c:dPt>
          <c:dPt>
            <c:idx val="3"/>
            <c:invertIfNegative val="0"/>
            <c:bubble3D val="0"/>
            <c:spPr>
              <a:solidFill>
                <a:srgbClr val="7030A0"/>
              </a:solidFill>
              <a:ln>
                <a:noFill/>
              </a:ln>
              <a:effectLst/>
            </c:spPr>
            <c:extLst>
              <c:ext xmlns:c16="http://schemas.microsoft.com/office/drawing/2014/chart" uri="{C3380CC4-5D6E-409C-BE32-E72D297353CC}">
                <c16:uniqueId val="{00000007-AC0E-468B-BF5E-6D6752A63342}"/>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AC0E-468B-BF5E-6D6752A63342}"/>
              </c:ext>
            </c:extLst>
          </c:dPt>
          <c:dPt>
            <c:idx val="5"/>
            <c:invertIfNegative val="0"/>
            <c:bubble3D val="0"/>
            <c:spPr>
              <a:solidFill>
                <a:srgbClr val="00FFFF"/>
              </a:solidFill>
              <a:ln>
                <a:noFill/>
              </a:ln>
              <a:effectLst/>
            </c:spPr>
            <c:extLst>
              <c:ext xmlns:c16="http://schemas.microsoft.com/office/drawing/2014/chart" uri="{C3380CC4-5D6E-409C-BE32-E72D297353CC}">
                <c16:uniqueId val="{0000000B-AC0E-468B-BF5E-6D6752A63342}"/>
              </c:ext>
            </c:extLst>
          </c:dPt>
          <c:dPt>
            <c:idx val="6"/>
            <c:invertIfNegative val="0"/>
            <c:bubble3D val="0"/>
            <c:spPr>
              <a:solidFill>
                <a:srgbClr val="008080"/>
              </a:solidFill>
              <a:ln>
                <a:noFill/>
              </a:ln>
              <a:effectLst/>
            </c:spPr>
            <c:extLst>
              <c:ext xmlns:c16="http://schemas.microsoft.com/office/drawing/2014/chart" uri="{C3380CC4-5D6E-409C-BE32-E72D297353CC}">
                <c16:uniqueId val="{0000000D-AC0E-468B-BF5E-6D6752A63342}"/>
              </c:ext>
            </c:extLst>
          </c:dPt>
          <c:dLbls>
            <c:dLbl>
              <c:idx val="1"/>
              <c:layout>
                <c:manualLayout>
                  <c:x val="1.3422818791946308E-2"/>
                  <c:y val="-9.864366258482125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C0E-468B-BF5E-6D6752A63342}"/>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Resumen!$D$11:$D$18</c:f>
              <c:strCache>
                <c:ptCount val="8"/>
                <c:pt idx="0">
                  <c:v>Pilar 1</c:v>
                </c:pt>
                <c:pt idx="1">
                  <c:v>Pilar 2</c:v>
                </c:pt>
                <c:pt idx="2">
                  <c:v>Pilar 3</c:v>
                </c:pt>
                <c:pt idx="3">
                  <c:v>Pilar 4</c:v>
                </c:pt>
                <c:pt idx="4">
                  <c:v>Pilar 5</c:v>
                </c:pt>
                <c:pt idx="5">
                  <c:v>Pilar 6</c:v>
                </c:pt>
                <c:pt idx="6">
                  <c:v>Pilar 7</c:v>
                </c:pt>
                <c:pt idx="7">
                  <c:v>Pilar 8</c:v>
                </c:pt>
              </c:strCache>
            </c:strRef>
          </c:cat>
          <c:val>
            <c:numRef>
              <c:f>Resumen!$E$11:$E$18</c:f>
              <c:numCache>
                <c:formatCode>#,##0.00</c:formatCode>
                <c:ptCount val="8"/>
                <c:pt idx="0">
                  <c:v>10210.52958128</c:v>
                </c:pt>
                <c:pt idx="1">
                  <c:v>18984.05201055</c:v>
                </c:pt>
                <c:pt idx="2">
                  <c:v>588.03902849999997</c:v>
                </c:pt>
                <c:pt idx="3">
                  <c:v>561.50747799999999</c:v>
                </c:pt>
                <c:pt idx="4">
                  <c:v>12213.190085460001</c:v>
                </c:pt>
                <c:pt idx="5">
                  <c:v>1141.0610012899999</c:v>
                </c:pt>
                <c:pt idx="6">
                  <c:v>7425.0815721599993</c:v>
                </c:pt>
                <c:pt idx="7">
                  <c:v>25707.76143758</c:v>
                </c:pt>
              </c:numCache>
            </c:numRef>
          </c:val>
          <c:extLst>
            <c:ext xmlns:c16="http://schemas.microsoft.com/office/drawing/2014/chart" uri="{C3380CC4-5D6E-409C-BE32-E72D297353CC}">
              <c16:uniqueId val="{0000000E-AC0E-468B-BF5E-6D6752A63342}"/>
            </c:ext>
          </c:extLst>
        </c:ser>
        <c:dLbls>
          <c:dLblPos val="outEnd"/>
          <c:showLegendKey val="0"/>
          <c:showVal val="1"/>
          <c:showCatName val="0"/>
          <c:showSerName val="0"/>
          <c:showPercent val="0"/>
          <c:showBubbleSize val="0"/>
        </c:dLbls>
        <c:gapWidth val="219"/>
        <c:overlap val="-27"/>
        <c:axId val="375581808"/>
        <c:axId val="375590040"/>
      </c:barChart>
      <c:catAx>
        <c:axId val="375581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75590040"/>
        <c:crosses val="autoZero"/>
        <c:auto val="1"/>
        <c:lblAlgn val="ctr"/>
        <c:lblOffset val="100"/>
        <c:noMultiLvlLbl val="0"/>
      </c:catAx>
      <c:valAx>
        <c:axId val="3755900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75581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spc="0" baseline="0">
                <a:solidFill>
                  <a:schemeClr val="tx1">
                    <a:lumMod val="75000"/>
                    <a:lumOff val="25000"/>
                  </a:schemeClr>
                </a:solidFill>
                <a:latin typeface="+mn-lt"/>
                <a:ea typeface="+mn-ea"/>
                <a:cs typeface="+mn-cs"/>
              </a:defRPr>
            </a:pPr>
            <a:r>
              <a:rPr lang="es-CO" sz="1800" b="1">
                <a:solidFill>
                  <a:schemeClr val="tx1">
                    <a:lumMod val="75000"/>
                    <a:lumOff val="25000"/>
                  </a:schemeClr>
                </a:solidFill>
              </a:rPr>
              <a:t>CONSOLIDADO PORCENTUAL</a:t>
            </a:r>
          </a:p>
          <a:p>
            <a:pPr>
              <a:defRPr sz="1800" b="1">
                <a:solidFill>
                  <a:schemeClr val="tx1">
                    <a:lumMod val="75000"/>
                    <a:lumOff val="25000"/>
                  </a:schemeClr>
                </a:solidFill>
              </a:defRPr>
            </a:pPr>
            <a:r>
              <a:rPr lang="es-CO" sz="1800" b="1">
                <a:solidFill>
                  <a:schemeClr val="tx1">
                    <a:lumMod val="75000"/>
                    <a:lumOff val="25000"/>
                  </a:schemeClr>
                </a:solidFill>
              </a:rPr>
              <a:t>POAI 2008-2015</a:t>
            </a:r>
          </a:p>
        </c:rich>
      </c:tx>
      <c:layout>
        <c:manualLayout>
          <c:xMode val="edge"/>
          <c:yMode val="edge"/>
          <c:x val="0.24807603235115971"/>
          <c:y val="2.6080353191634219E-2"/>
        </c:manualLayout>
      </c:layout>
      <c:overlay val="0"/>
      <c:spPr>
        <a:noFill/>
        <a:ln>
          <a:noFill/>
        </a:ln>
        <a:effectLst/>
      </c:spPr>
      <c:txPr>
        <a:bodyPr rot="0" spcFirstLastPara="1" vertOverflow="ellipsis" vert="horz" wrap="square" anchor="ctr" anchorCtr="1"/>
        <a:lstStyle/>
        <a:p>
          <a:pPr>
            <a:defRPr sz="1800" b="1" i="0" u="none" strike="noStrike" kern="1200" spc="0" baseline="0">
              <a:solidFill>
                <a:schemeClr val="tx1">
                  <a:lumMod val="75000"/>
                  <a:lumOff val="25000"/>
                </a:schemeClr>
              </a:solidFill>
              <a:latin typeface="+mn-lt"/>
              <a:ea typeface="+mn-ea"/>
              <a:cs typeface="+mn-cs"/>
            </a:defRPr>
          </a:pPr>
          <a:endParaRPr lang="es-CO"/>
        </a:p>
      </c:txPr>
    </c:title>
    <c:autoTitleDeleted val="0"/>
    <c:plotArea>
      <c:layout>
        <c:manualLayout>
          <c:layoutTarget val="inner"/>
          <c:xMode val="edge"/>
          <c:yMode val="edge"/>
          <c:x val="9.1327893968005128E-2"/>
          <c:y val="0.18053963324421493"/>
          <c:w val="0.87811664944596879"/>
          <c:h val="0.74318139564114183"/>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D61C-4CD7-BD5E-B0D372B7D726}"/>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D61C-4CD7-BD5E-B0D372B7D726}"/>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D61C-4CD7-BD5E-B0D372B7D726}"/>
              </c:ext>
            </c:extLst>
          </c:dPt>
          <c:dPt>
            <c:idx val="3"/>
            <c:invertIfNegative val="0"/>
            <c:bubble3D val="0"/>
            <c:spPr>
              <a:solidFill>
                <a:srgbClr val="7030A0"/>
              </a:solidFill>
              <a:ln>
                <a:noFill/>
              </a:ln>
              <a:effectLst/>
            </c:spPr>
            <c:extLst>
              <c:ext xmlns:c16="http://schemas.microsoft.com/office/drawing/2014/chart" uri="{C3380CC4-5D6E-409C-BE32-E72D297353CC}">
                <c16:uniqueId val="{00000007-D61C-4CD7-BD5E-B0D372B7D726}"/>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D61C-4CD7-BD5E-B0D372B7D726}"/>
              </c:ext>
            </c:extLst>
          </c:dPt>
          <c:dPt>
            <c:idx val="5"/>
            <c:invertIfNegative val="0"/>
            <c:bubble3D val="0"/>
            <c:spPr>
              <a:solidFill>
                <a:srgbClr val="00FFFF"/>
              </a:solidFill>
              <a:ln>
                <a:noFill/>
              </a:ln>
              <a:effectLst/>
            </c:spPr>
            <c:extLst>
              <c:ext xmlns:c16="http://schemas.microsoft.com/office/drawing/2014/chart" uri="{C3380CC4-5D6E-409C-BE32-E72D297353CC}">
                <c16:uniqueId val="{0000000B-D61C-4CD7-BD5E-B0D372B7D726}"/>
              </c:ext>
            </c:extLst>
          </c:dPt>
          <c:dPt>
            <c:idx val="6"/>
            <c:invertIfNegative val="0"/>
            <c:bubble3D val="0"/>
            <c:spPr>
              <a:solidFill>
                <a:srgbClr val="008080"/>
              </a:solidFill>
              <a:ln>
                <a:noFill/>
              </a:ln>
              <a:effectLst/>
            </c:spPr>
            <c:extLst>
              <c:ext xmlns:c16="http://schemas.microsoft.com/office/drawing/2014/chart" uri="{C3380CC4-5D6E-409C-BE32-E72D297353CC}">
                <c16:uniqueId val="{0000000D-D61C-4CD7-BD5E-B0D372B7D726}"/>
              </c:ext>
            </c:extLst>
          </c:dPt>
          <c:dLbls>
            <c:dLbl>
              <c:idx val="1"/>
              <c:layout>
                <c:manualLayout>
                  <c:x val="0"/>
                  <c:y val="-6.0281541868763965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61C-4CD7-BD5E-B0D372B7D726}"/>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'Resumen (2)'!$D$11:$D$18</c:f>
              <c:strCache>
                <c:ptCount val="8"/>
                <c:pt idx="0">
                  <c:v>Pilar 1</c:v>
                </c:pt>
                <c:pt idx="1">
                  <c:v>Pilar 2</c:v>
                </c:pt>
                <c:pt idx="2">
                  <c:v>Pilar 3</c:v>
                </c:pt>
                <c:pt idx="3">
                  <c:v>Pilar 4</c:v>
                </c:pt>
                <c:pt idx="4">
                  <c:v>Pilar 5</c:v>
                </c:pt>
                <c:pt idx="5">
                  <c:v>Pilar 6</c:v>
                </c:pt>
                <c:pt idx="6">
                  <c:v>Pilar 7</c:v>
                </c:pt>
                <c:pt idx="7">
                  <c:v>Pilar 8</c:v>
                </c:pt>
              </c:strCache>
            </c:strRef>
          </c:cat>
          <c:val>
            <c:numRef>
              <c:f>'Resumen (2)'!$E$11:$E$18</c:f>
              <c:numCache>
                <c:formatCode>0%</c:formatCode>
                <c:ptCount val="8"/>
                <c:pt idx="0">
                  <c:v>0.13289557668872276</c:v>
                </c:pt>
                <c:pt idx="1">
                  <c:v>0.24708772642471272</c:v>
                </c:pt>
                <c:pt idx="2">
                  <c:v>7.6536466777648868E-3</c:v>
                </c:pt>
                <c:pt idx="3">
                  <c:v>7.3083241676956835E-3</c:v>
                </c:pt>
                <c:pt idx="4">
                  <c:v>0.15896128860857064</c:v>
                </c:pt>
                <c:pt idx="5">
                  <c:v>1.4851527395941005E-2</c:v>
                </c:pt>
                <c:pt idx="6">
                  <c:v>9.6641461115017924E-2</c:v>
                </c:pt>
                <c:pt idx="7">
                  <c:v>0.33460044892157437</c:v>
                </c:pt>
              </c:numCache>
            </c:numRef>
          </c:val>
          <c:extLst>
            <c:ext xmlns:c16="http://schemas.microsoft.com/office/drawing/2014/chart" uri="{C3380CC4-5D6E-409C-BE32-E72D297353CC}">
              <c16:uniqueId val="{0000000E-D61C-4CD7-BD5E-B0D372B7D726}"/>
            </c:ext>
          </c:extLst>
        </c:ser>
        <c:dLbls>
          <c:dLblPos val="outEnd"/>
          <c:showLegendKey val="0"/>
          <c:showVal val="1"/>
          <c:showCatName val="0"/>
          <c:showSerName val="0"/>
          <c:showPercent val="0"/>
          <c:showBubbleSize val="0"/>
        </c:dLbls>
        <c:gapWidth val="219"/>
        <c:overlap val="-27"/>
        <c:axId val="413773528"/>
        <c:axId val="413766080"/>
      </c:barChart>
      <c:catAx>
        <c:axId val="41377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66080"/>
        <c:crosses val="autoZero"/>
        <c:auto val="1"/>
        <c:lblAlgn val="ctr"/>
        <c:lblOffset val="100"/>
        <c:noMultiLvlLbl val="0"/>
      </c:catAx>
      <c:valAx>
        <c:axId val="4137660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73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chemeClr val="accent1"/>
                </a:solidFill>
                <a:latin typeface="+mn-lt"/>
                <a:ea typeface="+mn-ea"/>
                <a:cs typeface="+mn-cs"/>
              </a:defRPr>
            </a:pPr>
            <a:r>
              <a:rPr lang="es-CO" sz="1600" b="1" i="0" u="none" strike="noStrike" baseline="0">
                <a:effectLst/>
              </a:rPr>
              <a:t>Inversión Anual </a:t>
            </a:r>
            <a:r>
              <a:rPr lang="es-CO" sz="1600" b="1">
                <a:solidFill>
                  <a:schemeClr val="accent1"/>
                </a:solidFill>
              </a:rPr>
              <a:t>Pilar 1</a:t>
            </a:r>
          </a:p>
          <a:p>
            <a:pPr>
              <a:defRPr sz="1600" b="1">
                <a:solidFill>
                  <a:schemeClr val="accent1"/>
                </a:solidFill>
              </a:defRPr>
            </a:pPr>
            <a:r>
              <a:rPr lang="es-CO" sz="1600" b="1">
                <a:solidFill>
                  <a:schemeClr val="accent1"/>
                </a:solidFill>
              </a:rPr>
              <a:t>Gestión de la Alta Calidad de la Educación</a:t>
            </a:r>
          </a:p>
        </c:rich>
      </c:tx>
      <c:layout>
        <c:manualLayout>
          <c:xMode val="edge"/>
          <c:yMode val="edge"/>
          <c:x val="0.19038285662189847"/>
          <c:y val="1.891450273100587E-2"/>
        </c:manualLayout>
      </c:layout>
      <c:overlay val="0"/>
      <c:spPr>
        <a:noFill/>
        <a:ln>
          <a:noFill/>
        </a:ln>
        <a:effectLst/>
      </c:spPr>
      <c:txPr>
        <a:bodyPr rot="0" spcFirstLastPara="1" vertOverflow="ellipsis" vert="horz" wrap="square" anchor="ctr" anchorCtr="1"/>
        <a:lstStyle/>
        <a:p>
          <a:pPr>
            <a:defRPr sz="1600" b="1" i="0" u="none" strike="noStrike" kern="1200" spc="0" baseline="0">
              <a:solidFill>
                <a:schemeClr val="accent1"/>
              </a:solidFill>
              <a:latin typeface="+mn-lt"/>
              <a:ea typeface="+mn-ea"/>
              <a:cs typeface="+mn-cs"/>
            </a:defRPr>
          </a:pPr>
          <a:endParaRPr lang="es-CO"/>
        </a:p>
      </c:txPr>
    </c:title>
    <c:autoTitleDeleted val="0"/>
    <c:plotArea>
      <c:layout>
        <c:manualLayout>
          <c:layoutTarget val="inner"/>
          <c:xMode val="edge"/>
          <c:yMode val="edge"/>
          <c:x val="0.12978937007874017"/>
          <c:y val="0.21297157027303745"/>
          <c:w val="0.8396550743657043"/>
          <c:h val="0.71074972046851315"/>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C1B6-4719-84A7-ACBB0932DF02}"/>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C1B6-4719-84A7-ACBB0932DF02}"/>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C1B6-4719-84A7-ACBB0932DF02}"/>
              </c:ext>
            </c:extLst>
          </c:dPt>
          <c:dPt>
            <c:idx val="3"/>
            <c:invertIfNegative val="0"/>
            <c:bubble3D val="0"/>
            <c:spPr>
              <a:solidFill>
                <a:srgbClr val="7030A0"/>
              </a:solidFill>
              <a:ln>
                <a:noFill/>
              </a:ln>
              <a:effectLst/>
            </c:spPr>
            <c:extLst>
              <c:ext xmlns:c16="http://schemas.microsoft.com/office/drawing/2014/chart" uri="{C3380CC4-5D6E-409C-BE32-E72D297353CC}">
                <c16:uniqueId val="{00000007-C1B6-4719-84A7-ACBB0932DF02}"/>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C1B6-4719-84A7-ACBB0932DF02}"/>
              </c:ext>
            </c:extLst>
          </c:dPt>
          <c:dPt>
            <c:idx val="5"/>
            <c:invertIfNegative val="0"/>
            <c:bubble3D val="0"/>
            <c:spPr>
              <a:solidFill>
                <a:srgbClr val="00FFFF"/>
              </a:solidFill>
              <a:ln>
                <a:noFill/>
              </a:ln>
              <a:effectLst/>
            </c:spPr>
            <c:extLst>
              <c:ext xmlns:c16="http://schemas.microsoft.com/office/drawing/2014/chart" uri="{C3380CC4-5D6E-409C-BE32-E72D297353CC}">
                <c16:uniqueId val="{0000000B-C1B6-4719-84A7-ACBB0932DF02}"/>
              </c:ext>
            </c:extLst>
          </c:dPt>
          <c:dPt>
            <c:idx val="7"/>
            <c:invertIfNegative val="0"/>
            <c:bubble3D val="0"/>
            <c:spPr>
              <a:solidFill>
                <a:srgbClr val="008080"/>
              </a:solidFill>
              <a:ln>
                <a:noFill/>
              </a:ln>
              <a:effectLst/>
            </c:spPr>
            <c:extLst>
              <c:ext xmlns:c16="http://schemas.microsoft.com/office/drawing/2014/chart" uri="{C3380CC4-5D6E-409C-BE32-E72D297353CC}">
                <c16:uniqueId val="{0000000D-C1B6-4719-84A7-ACBB0932DF02}"/>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1 (2)'!$E$11:$E$18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1 (2)'!$F$11:$F$18</c:f>
              <c:numCache>
                <c:formatCode>#,##0.00</c:formatCode>
                <c:ptCount val="8"/>
                <c:pt idx="0">
                  <c:v>1107.7860000000001</c:v>
                </c:pt>
                <c:pt idx="1">
                  <c:v>1011.76</c:v>
                </c:pt>
                <c:pt idx="2">
                  <c:v>1250.723</c:v>
                </c:pt>
                <c:pt idx="3">
                  <c:v>1073.3910000000001</c:v>
                </c:pt>
                <c:pt idx="4">
                  <c:v>1107.5797660000001</c:v>
                </c:pt>
                <c:pt idx="5">
                  <c:v>1286.8825915</c:v>
                </c:pt>
                <c:pt idx="6">
                  <c:v>1634.62203178</c:v>
                </c:pt>
                <c:pt idx="7">
                  <c:v>1737.7851920000001</c:v>
                </c:pt>
              </c:numCache>
            </c:numRef>
          </c:val>
          <c:extLst>
            <c:ext xmlns:c16="http://schemas.microsoft.com/office/drawing/2014/chart" uri="{C3380CC4-5D6E-409C-BE32-E72D297353CC}">
              <c16:uniqueId val="{0000000E-C1B6-4719-84A7-ACBB0932DF02}"/>
            </c:ext>
          </c:extLst>
        </c:ser>
        <c:dLbls>
          <c:dLblPos val="outEnd"/>
          <c:showLegendKey val="0"/>
          <c:showVal val="1"/>
          <c:showCatName val="0"/>
          <c:showSerName val="0"/>
          <c:showPercent val="0"/>
          <c:showBubbleSize val="0"/>
        </c:dLbls>
        <c:gapWidth val="219"/>
        <c:overlap val="-27"/>
        <c:axId val="413767256"/>
        <c:axId val="413769216"/>
      </c:barChart>
      <c:catAx>
        <c:axId val="413767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69216"/>
        <c:crosses val="autoZero"/>
        <c:auto val="1"/>
        <c:lblAlgn val="ctr"/>
        <c:lblOffset val="100"/>
        <c:noMultiLvlLbl val="0"/>
      </c:catAx>
      <c:valAx>
        <c:axId val="4137692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67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chemeClr val="accent1"/>
                </a:solidFill>
                <a:latin typeface="+mn-lt"/>
                <a:ea typeface="+mn-ea"/>
                <a:cs typeface="+mn-cs"/>
              </a:defRPr>
            </a:pPr>
            <a:r>
              <a:rPr lang="es-CO" sz="1600" b="1">
                <a:solidFill>
                  <a:schemeClr val="accent1"/>
                </a:solidFill>
              </a:rPr>
              <a:t>Inversión acumulada</a:t>
            </a:r>
            <a:r>
              <a:rPr lang="es-CO" sz="1600" b="1" baseline="0">
                <a:solidFill>
                  <a:schemeClr val="accent1"/>
                </a:solidFill>
              </a:rPr>
              <a:t> </a:t>
            </a:r>
            <a:r>
              <a:rPr lang="es-CO" sz="1600" b="1">
                <a:solidFill>
                  <a:schemeClr val="accent1"/>
                </a:solidFill>
              </a:rPr>
              <a:t>Pilar 1</a:t>
            </a:r>
          </a:p>
          <a:p>
            <a:pPr>
              <a:defRPr sz="1600" b="1">
                <a:solidFill>
                  <a:schemeClr val="accent1"/>
                </a:solidFill>
              </a:defRPr>
            </a:pPr>
            <a:r>
              <a:rPr lang="es-CO" sz="1600" b="1">
                <a:solidFill>
                  <a:schemeClr val="accent1"/>
                </a:solidFill>
              </a:rPr>
              <a:t>Gestión de la Alta Calidad de la Educación</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accent1"/>
              </a:solidFill>
              <a:latin typeface="+mn-lt"/>
              <a:ea typeface="+mn-ea"/>
              <a:cs typeface="+mn-cs"/>
            </a:defRPr>
          </a:pPr>
          <a:endParaRPr lang="es-CO"/>
        </a:p>
      </c:txPr>
    </c:title>
    <c:autoTitleDeleted val="0"/>
    <c:plotArea>
      <c:layout>
        <c:manualLayout>
          <c:layoutTarget val="inner"/>
          <c:xMode val="edge"/>
          <c:yMode val="edge"/>
          <c:x val="0.12978937007874017"/>
          <c:y val="0.25099274355411461"/>
          <c:w val="0.8396550743657043"/>
          <c:h val="0.67272837218877057"/>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6A19-45C0-B5E7-9BAFFE92D7F7}"/>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6A19-45C0-B5E7-9BAFFE92D7F7}"/>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6A19-45C0-B5E7-9BAFFE92D7F7}"/>
              </c:ext>
            </c:extLst>
          </c:dPt>
          <c:dPt>
            <c:idx val="3"/>
            <c:invertIfNegative val="0"/>
            <c:bubble3D val="0"/>
            <c:spPr>
              <a:solidFill>
                <a:srgbClr val="7030A0"/>
              </a:solidFill>
              <a:ln>
                <a:noFill/>
              </a:ln>
              <a:effectLst/>
            </c:spPr>
            <c:extLst>
              <c:ext xmlns:c16="http://schemas.microsoft.com/office/drawing/2014/chart" uri="{C3380CC4-5D6E-409C-BE32-E72D297353CC}">
                <c16:uniqueId val="{00000007-6A19-45C0-B5E7-9BAFFE92D7F7}"/>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6A19-45C0-B5E7-9BAFFE92D7F7}"/>
              </c:ext>
            </c:extLst>
          </c:dPt>
          <c:dPt>
            <c:idx val="5"/>
            <c:invertIfNegative val="0"/>
            <c:bubble3D val="0"/>
            <c:spPr>
              <a:solidFill>
                <a:srgbClr val="00FFFF"/>
              </a:solidFill>
              <a:ln>
                <a:noFill/>
              </a:ln>
              <a:effectLst/>
            </c:spPr>
            <c:extLst>
              <c:ext xmlns:c16="http://schemas.microsoft.com/office/drawing/2014/chart" uri="{C3380CC4-5D6E-409C-BE32-E72D297353CC}">
                <c16:uniqueId val="{0000000B-6A19-45C0-B5E7-9BAFFE92D7F7}"/>
              </c:ext>
            </c:extLst>
          </c:dPt>
          <c:dPt>
            <c:idx val="7"/>
            <c:invertIfNegative val="0"/>
            <c:bubble3D val="0"/>
            <c:spPr>
              <a:solidFill>
                <a:srgbClr val="008080"/>
              </a:solidFill>
              <a:ln>
                <a:noFill/>
              </a:ln>
              <a:effectLst/>
            </c:spPr>
            <c:extLst>
              <c:ext xmlns:c16="http://schemas.microsoft.com/office/drawing/2014/chart" uri="{C3380CC4-5D6E-409C-BE32-E72D297353CC}">
                <c16:uniqueId val="{0000000D-6A19-45C0-B5E7-9BAFFE92D7F7}"/>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1'!$E$11:$E$18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1'!$F$11:$F$18</c:f>
              <c:numCache>
                <c:formatCode>#,##0.00</c:formatCode>
                <c:ptCount val="8"/>
                <c:pt idx="0">
                  <c:v>1107.7860000000001</c:v>
                </c:pt>
                <c:pt idx="1">
                  <c:v>2119.5460000000003</c:v>
                </c:pt>
                <c:pt idx="2">
                  <c:v>3370.2690000000002</c:v>
                </c:pt>
                <c:pt idx="3">
                  <c:v>4443.66</c:v>
                </c:pt>
                <c:pt idx="4">
                  <c:v>5551.2397659999997</c:v>
                </c:pt>
                <c:pt idx="5">
                  <c:v>6838.1223574999995</c:v>
                </c:pt>
                <c:pt idx="6">
                  <c:v>8472.7443892800002</c:v>
                </c:pt>
                <c:pt idx="7">
                  <c:v>10210.52958128</c:v>
                </c:pt>
              </c:numCache>
            </c:numRef>
          </c:val>
          <c:extLst>
            <c:ext xmlns:c16="http://schemas.microsoft.com/office/drawing/2014/chart" uri="{C3380CC4-5D6E-409C-BE32-E72D297353CC}">
              <c16:uniqueId val="{0000000E-6A19-45C0-B5E7-9BAFFE92D7F7}"/>
            </c:ext>
          </c:extLst>
        </c:ser>
        <c:dLbls>
          <c:dLblPos val="outEnd"/>
          <c:showLegendKey val="0"/>
          <c:showVal val="1"/>
          <c:showCatName val="0"/>
          <c:showSerName val="0"/>
          <c:showPercent val="0"/>
          <c:showBubbleSize val="0"/>
        </c:dLbls>
        <c:gapWidth val="219"/>
        <c:overlap val="-27"/>
        <c:axId val="413776272"/>
        <c:axId val="413774704"/>
      </c:barChart>
      <c:catAx>
        <c:axId val="41377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74704"/>
        <c:crosses val="autoZero"/>
        <c:auto val="1"/>
        <c:lblAlgn val="ctr"/>
        <c:lblOffset val="100"/>
        <c:noMultiLvlLbl val="0"/>
      </c:catAx>
      <c:valAx>
        <c:axId val="4137747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76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spc="0" baseline="0">
                <a:solidFill>
                  <a:schemeClr val="accent4">
                    <a:lumMod val="50000"/>
                  </a:schemeClr>
                </a:solidFill>
                <a:latin typeface="+mn-lt"/>
                <a:ea typeface="+mn-ea"/>
                <a:cs typeface="+mn-cs"/>
              </a:defRPr>
            </a:pPr>
            <a:r>
              <a:rPr lang="es-CO" sz="1800" b="1" i="0" u="none" strike="noStrike" baseline="0">
                <a:effectLst/>
              </a:rPr>
              <a:t>Inversión Anual </a:t>
            </a:r>
            <a:r>
              <a:rPr lang="es-CO" sz="1800" b="1">
                <a:solidFill>
                  <a:schemeClr val="accent4">
                    <a:lumMod val="50000"/>
                  </a:schemeClr>
                </a:solidFill>
              </a:rPr>
              <a:t>Pilar 2</a:t>
            </a:r>
          </a:p>
          <a:p>
            <a:pPr>
              <a:defRPr sz="1800" b="1">
                <a:solidFill>
                  <a:schemeClr val="accent4">
                    <a:lumMod val="50000"/>
                  </a:schemeClr>
                </a:solidFill>
              </a:defRPr>
            </a:pPr>
            <a:r>
              <a:rPr lang="es-CO" sz="1800" b="1">
                <a:solidFill>
                  <a:schemeClr val="accent4">
                    <a:lumMod val="50000"/>
                  </a:schemeClr>
                </a:solidFill>
              </a:rPr>
              <a:t>Fomento a la Investigación</a:t>
            </a:r>
          </a:p>
        </c:rich>
      </c:tx>
      <c:overlay val="0"/>
      <c:spPr>
        <a:noFill/>
        <a:ln>
          <a:noFill/>
        </a:ln>
        <a:effectLst/>
      </c:spPr>
      <c:txPr>
        <a:bodyPr rot="0" spcFirstLastPara="1" vertOverflow="ellipsis" vert="horz" wrap="square" anchor="ctr" anchorCtr="1"/>
        <a:lstStyle/>
        <a:p>
          <a:pPr>
            <a:defRPr sz="1800" b="1" i="0" u="none" strike="noStrike" kern="1200" spc="0" baseline="0">
              <a:solidFill>
                <a:schemeClr val="accent4">
                  <a:lumMod val="50000"/>
                </a:schemeClr>
              </a:solidFill>
              <a:latin typeface="+mn-lt"/>
              <a:ea typeface="+mn-ea"/>
              <a:cs typeface="+mn-cs"/>
            </a:defRPr>
          </a:pPr>
          <a:endParaRPr lang="es-CO"/>
        </a:p>
      </c:txPr>
    </c:title>
    <c:autoTitleDeleted val="0"/>
    <c:plotArea>
      <c:layout>
        <c:manualLayout>
          <c:layoutTarget val="inner"/>
          <c:xMode val="edge"/>
          <c:yMode val="edge"/>
          <c:x val="0.12978937007874017"/>
          <c:y val="0.24486774482531004"/>
          <c:w val="0.8396550743657043"/>
          <c:h val="0.67885331698807105"/>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B6BB-457F-B1D7-A54C60C463B1}"/>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B6BB-457F-B1D7-A54C60C463B1}"/>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B6BB-457F-B1D7-A54C60C463B1}"/>
              </c:ext>
            </c:extLst>
          </c:dPt>
          <c:dPt>
            <c:idx val="3"/>
            <c:invertIfNegative val="0"/>
            <c:bubble3D val="0"/>
            <c:spPr>
              <a:solidFill>
                <a:srgbClr val="7030A0"/>
              </a:solidFill>
              <a:ln>
                <a:noFill/>
              </a:ln>
              <a:effectLst/>
            </c:spPr>
            <c:extLst>
              <c:ext xmlns:c16="http://schemas.microsoft.com/office/drawing/2014/chart" uri="{C3380CC4-5D6E-409C-BE32-E72D297353CC}">
                <c16:uniqueId val="{00000007-B6BB-457F-B1D7-A54C60C463B1}"/>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B6BB-457F-B1D7-A54C60C463B1}"/>
              </c:ext>
            </c:extLst>
          </c:dPt>
          <c:dPt>
            <c:idx val="5"/>
            <c:invertIfNegative val="0"/>
            <c:bubble3D val="0"/>
            <c:spPr>
              <a:solidFill>
                <a:srgbClr val="00FFFF"/>
              </a:solidFill>
              <a:ln>
                <a:noFill/>
              </a:ln>
              <a:effectLst/>
            </c:spPr>
            <c:extLst>
              <c:ext xmlns:c16="http://schemas.microsoft.com/office/drawing/2014/chart" uri="{C3380CC4-5D6E-409C-BE32-E72D297353CC}">
                <c16:uniqueId val="{0000000B-B6BB-457F-B1D7-A54C60C463B1}"/>
              </c:ext>
            </c:extLst>
          </c:dPt>
          <c:dPt>
            <c:idx val="6"/>
            <c:invertIfNegative val="0"/>
            <c:bubble3D val="0"/>
            <c:spPr>
              <a:solidFill>
                <a:srgbClr val="008080"/>
              </a:solidFill>
              <a:ln>
                <a:noFill/>
              </a:ln>
              <a:effectLst/>
            </c:spPr>
            <c:extLst>
              <c:ext xmlns:c16="http://schemas.microsoft.com/office/drawing/2014/chart" uri="{C3380CC4-5D6E-409C-BE32-E72D297353CC}">
                <c16:uniqueId val="{0000000D-B6BB-457F-B1D7-A54C60C463B1}"/>
              </c:ext>
            </c:extLst>
          </c:dPt>
          <c:dLbls>
            <c:dLbl>
              <c:idx val="7"/>
              <c:layout>
                <c:manualLayout>
                  <c:x val="0"/>
                  <c:y val="-6.0281541868763965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B6BB-457F-B1D7-A54C60C463B1}"/>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2 (2)'!$E$11:$E$18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2 (2)'!$F$11:$F$18</c:f>
              <c:numCache>
                <c:formatCode>#,##0.00</c:formatCode>
                <c:ptCount val="8"/>
                <c:pt idx="0">
                  <c:v>942.69</c:v>
                </c:pt>
                <c:pt idx="1">
                  <c:v>2184.346</c:v>
                </c:pt>
                <c:pt idx="2">
                  <c:v>2385.078</c:v>
                </c:pt>
                <c:pt idx="3">
                  <c:v>1936.0360000000001</c:v>
                </c:pt>
                <c:pt idx="4">
                  <c:v>1853.806323</c:v>
                </c:pt>
                <c:pt idx="5">
                  <c:v>2462.4539895300004</c:v>
                </c:pt>
                <c:pt idx="6">
                  <c:v>3489.4284716300003</c:v>
                </c:pt>
                <c:pt idx="7">
                  <c:v>3730.2132263899998</c:v>
                </c:pt>
              </c:numCache>
            </c:numRef>
          </c:val>
          <c:extLst>
            <c:ext xmlns:c16="http://schemas.microsoft.com/office/drawing/2014/chart" uri="{C3380CC4-5D6E-409C-BE32-E72D297353CC}">
              <c16:uniqueId val="{0000000F-B6BB-457F-B1D7-A54C60C463B1}"/>
            </c:ext>
          </c:extLst>
        </c:ser>
        <c:dLbls>
          <c:dLblPos val="outEnd"/>
          <c:showLegendKey val="0"/>
          <c:showVal val="1"/>
          <c:showCatName val="0"/>
          <c:showSerName val="0"/>
          <c:showPercent val="0"/>
          <c:showBubbleSize val="0"/>
        </c:dLbls>
        <c:gapWidth val="219"/>
        <c:overlap val="-27"/>
        <c:axId val="413775096"/>
        <c:axId val="413775488"/>
      </c:barChart>
      <c:catAx>
        <c:axId val="41377509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75488"/>
        <c:crosses val="autoZero"/>
        <c:auto val="1"/>
        <c:lblAlgn val="ctr"/>
        <c:lblOffset val="100"/>
        <c:noMultiLvlLbl val="0"/>
      </c:catAx>
      <c:valAx>
        <c:axId val="4137754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750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spc="0" baseline="0">
                <a:solidFill>
                  <a:schemeClr val="accent4">
                    <a:lumMod val="50000"/>
                  </a:schemeClr>
                </a:solidFill>
                <a:latin typeface="+mn-lt"/>
                <a:ea typeface="+mn-ea"/>
                <a:cs typeface="+mn-cs"/>
              </a:defRPr>
            </a:pPr>
            <a:r>
              <a:rPr lang="es-CO" sz="1800" b="1" i="0" u="none" strike="noStrike" baseline="0">
                <a:effectLst/>
              </a:rPr>
              <a:t>Inversión acumulada </a:t>
            </a:r>
            <a:r>
              <a:rPr lang="es-CO" sz="1800" b="1">
                <a:solidFill>
                  <a:schemeClr val="accent4">
                    <a:lumMod val="50000"/>
                  </a:schemeClr>
                </a:solidFill>
              </a:rPr>
              <a:t>Pilar 2</a:t>
            </a:r>
          </a:p>
          <a:p>
            <a:pPr>
              <a:defRPr sz="1800" b="1">
                <a:solidFill>
                  <a:schemeClr val="accent4">
                    <a:lumMod val="50000"/>
                  </a:schemeClr>
                </a:solidFill>
              </a:defRPr>
            </a:pPr>
            <a:r>
              <a:rPr lang="es-CO" sz="1800" b="1">
                <a:solidFill>
                  <a:schemeClr val="accent4">
                    <a:lumMod val="50000"/>
                  </a:schemeClr>
                </a:solidFill>
              </a:rPr>
              <a:t>Fomento a la Investigación</a:t>
            </a:r>
          </a:p>
        </c:rich>
      </c:tx>
      <c:layout>
        <c:manualLayout>
          <c:xMode val="edge"/>
          <c:yMode val="edge"/>
          <c:x val="0.24943191089877811"/>
          <c:y val="1.2084592145015106E-2"/>
        </c:manualLayout>
      </c:layout>
      <c:overlay val="0"/>
      <c:spPr>
        <a:noFill/>
        <a:ln>
          <a:noFill/>
        </a:ln>
        <a:effectLst/>
      </c:spPr>
      <c:txPr>
        <a:bodyPr rot="0" spcFirstLastPara="1" vertOverflow="ellipsis" vert="horz" wrap="square" anchor="ctr" anchorCtr="1"/>
        <a:lstStyle/>
        <a:p>
          <a:pPr>
            <a:defRPr sz="1800" b="1" i="0" u="none" strike="noStrike" kern="1200" spc="0" baseline="0">
              <a:solidFill>
                <a:schemeClr val="accent4">
                  <a:lumMod val="50000"/>
                </a:schemeClr>
              </a:solidFill>
              <a:latin typeface="+mn-lt"/>
              <a:ea typeface="+mn-ea"/>
              <a:cs typeface="+mn-cs"/>
            </a:defRPr>
          </a:pPr>
          <a:endParaRPr lang="es-CO"/>
        </a:p>
      </c:txPr>
    </c:title>
    <c:autoTitleDeleted val="0"/>
    <c:plotArea>
      <c:layout>
        <c:manualLayout>
          <c:layoutTarget val="inner"/>
          <c:xMode val="edge"/>
          <c:yMode val="edge"/>
          <c:x val="0.12978937007874017"/>
          <c:y val="0.2712128707254533"/>
          <c:w val="0.8396550743657043"/>
          <c:h val="0.65250856611223307"/>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3346-4955-B704-694E9333471B}"/>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3346-4955-B704-694E9333471B}"/>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3346-4955-B704-694E9333471B}"/>
              </c:ext>
            </c:extLst>
          </c:dPt>
          <c:dPt>
            <c:idx val="3"/>
            <c:invertIfNegative val="0"/>
            <c:bubble3D val="0"/>
            <c:spPr>
              <a:solidFill>
                <a:srgbClr val="7030A0"/>
              </a:solidFill>
              <a:ln>
                <a:noFill/>
              </a:ln>
              <a:effectLst/>
            </c:spPr>
            <c:extLst>
              <c:ext xmlns:c16="http://schemas.microsoft.com/office/drawing/2014/chart" uri="{C3380CC4-5D6E-409C-BE32-E72D297353CC}">
                <c16:uniqueId val="{00000007-3346-4955-B704-694E9333471B}"/>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3346-4955-B704-694E9333471B}"/>
              </c:ext>
            </c:extLst>
          </c:dPt>
          <c:dPt>
            <c:idx val="5"/>
            <c:invertIfNegative val="0"/>
            <c:bubble3D val="0"/>
            <c:spPr>
              <a:solidFill>
                <a:srgbClr val="00FFFF"/>
              </a:solidFill>
              <a:ln>
                <a:noFill/>
              </a:ln>
              <a:effectLst/>
            </c:spPr>
            <c:extLst>
              <c:ext xmlns:c16="http://schemas.microsoft.com/office/drawing/2014/chart" uri="{C3380CC4-5D6E-409C-BE32-E72D297353CC}">
                <c16:uniqueId val="{0000000B-3346-4955-B704-694E9333471B}"/>
              </c:ext>
            </c:extLst>
          </c:dPt>
          <c:dPt>
            <c:idx val="6"/>
            <c:invertIfNegative val="0"/>
            <c:bubble3D val="0"/>
            <c:spPr>
              <a:solidFill>
                <a:srgbClr val="008080"/>
              </a:solidFill>
              <a:ln>
                <a:noFill/>
              </a:ln>
              <a:effectLst/>
            </c:spPr>
            <c:extLst>
              <c:ext xmlns:c16="http://schemas.microsoft.com/office/drawing/2014/chart" uri="{C3380CC4-5D6E-409C-BE32-E72D297353CC}">
                <c16:uniqueId val="{0000000D-3346-4955-B704-694E9333471B}"/>
              </c:ext>
            </c:extLst>
          </c:dPt>
          <c:dLbls>
            <c:dLbl>
              <c:idx val="7"/>
              <c:layout>
                <c:manualLayout>
                  <c:x val="-1.6405477894898245E-16"/>
                  <c:y val="-9.864366258482125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3346-4955-B704-694E9333471B}"/>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2'!$E$11:$E$18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2'!$F$11:$F$18</c:f>
              <c:numCache>
                <c:formatCode>#,##0.00</c:formatCode>
                <c:ptCount val="8"/>
                <c:pt idx="0">
                  <c:v>942.69</c:v>
                </c:pt>
                <c:pt idx="1">
                  <c:v>3127.0360000000001</c:v>
                </c:pt>
                <c:pt idx="2">
                  <c:v>5512.1139999999996</c:v>
                </c:pt>
                <c:pt idx="3">
                  <c:v>7448.15</c:v>
                </c:pt>
                <c:pt idx="4">
                  <c:v>9301.9563230000003</c:v>
                </c:pt>
                <c:pt idx="5">
                  <c:v>11764.410312530001</c:v>
                </c:pt>
                <c:pt idx="6">
                  <c:v>15253.838784160002</c:v>
                </c:pt>
                <c:pt idx="7">
                  <c:v>18984.05201055</c:v>
                </c:pt>
              </c:numCache>
            </c:numRef>
          </c:val>
          <c:extLst>
            <c:ext xmlns:c16="http://schemas.microsoft.com/office/drawing/2014/chart" uri="{C3380CC4-5D6E-409C-BE32-E72D297353CC}">
              <c16:uniqueId val="{0000000F-3346-4955-B704-694E9333471B}"/>
            </c:ext>
          </c:extLst>
        </c:ser>
        <c:dLbls>
          <c:dLblPos val="outEnd"/>
          <c:showLegendKey val="0"/>
          <c:showVal val="1"/>
          <c:showCatName val="0"/>
          <c:showSerName val="0"/>
          <c:showPercent val="0"/>
          <c:showBubbleSize val="0"/>
        </c:dLbls>
        <c:gapWidth val="219"/>
        <c:overlap val="-27"/>
        <c:axId val="413787640"/>
        <c:axId val="413796656"/>
      </c:barChart>
      <c:catAx>
        <c:axId val="41378764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96656"/>
        <c:crosses val="autoZero"/>
        <c:auto val="1"/>
        <c:lblAlgn val="ctr"/>
        <c:lblOffset val="100"/>
        <c:noMultiLvlLbl val="0"/>
      </c:catAx>
      <c:valAx>
        <c:axId val="4137966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876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spc="0" baseline="0">
                <a:solidFill>
                  <a:schemeClr val="accent2">
                    <a:lumMod val="75000"/>
                  </a:schemeClr>
                </a:solidFill>
                <a:latin typeface="+mn-lt"/>
                <a:ea typeface="+mn-ea"/>
                <a:cs typeface="+mn-cs"/>
              </a:defRPr>
            </a:pPr>
            <a:r>
              <a:rPr lang="es-CO" sz="1800" b="1" i="0" u="none" strike="noStrike" baseline="0">
                <a:effectLst/>
              </a:rPr>
              <a:t>Inversión Anual </a:t>
            </a:r>
            <a:r>
              <a:rPr lang="es-CO" sz="1800" b="1">
                <a:solidFill>
                  <a:schemeClr val="accent2">
                    <a:lumMod val="75000"/>
                  </a:schemeClr>
                </a:solidFill>
              </a:rPr>
              <a:t>Pilar 3</a:t>
            </a:r>
          </a:p>
          <a:p>
            <a:pPr>
              <a:defRPr sz="1800" b="1">
                <a:solidFill>
                  <a:schemeClr val="accent2">
                    <a:lumMod val="75000"/>
                  </a:schemeClr>
                </a:solidFill>
              </a:defRPr>
            </a:pPr>
            <a:r>
              <a:rPr lang="es-CO" sz="1800" b="1">
                <a:solidFill>
                  <a:schemeClr val="accent2">
                    <a:lumMod val="75000"/>
                  </a:schemeClr>
                </a:solidFill>
              </a:rPr>
              <a:t>Extensión y Relaciones</a:t>
            </a:r>
            <a:r>
              <a:rPr lang="es-CO" sz="1800" b="1" baseline="0">
                <a:solidFill>
                  <a:schemeClr val="accent2">
                    <a:lumMod val="75000"/>
                  </a:schemeClr>
                </a:solidFill>
              </a:rPr>
              <a:t> con el Medio</a:t>
            </a:r>
            <a:endParaRPr lang="es-CO" sz="1800" b="1">
              <a:solidFill>
                <a:schemeClr val="accent2">
                  <a:lumMod val="75000"/>
                </a:schemeClr>
              </a:solidFill>
            </a:endParaRPr>
          </a:p>
        </c:rich>
      </c:tx>
      <c:overlay val="0"/>
      <c:spPr>
        <a:noFill/>
        <a:ln>
          <a:noFill/>
        </a:ln>
        <a:effectLst/>
      </c:spPr>
      <c:txPr>
        <a:bodyPr rot="0" spcFirstLastPara="1" vertOverflow="ellipsis" vert="horz" wrap="square" anchor="ctr" anchorCtr="1"/>
        <a:lstStyle/>
        <a:p>
          <a:pPr>
            <a:defRPr sz="1800" b="1" i="0" u="none" strike="noStrike" kern="1200" spc="0" baseline="0">
              <a:solidFill>
                <a:schemeClr val="accent2">
                  <a:lumMod val="75000"/>
                </a:schemeClr>
              </a:solidFill>
              <a:latin typeface="+mn-lt"/>
              <a:ea typeface="+mn-ea"/>
              <a:cs typeface="+mn-cs"/>
            </a:defRPr>
          </a:pPr>
          <a:endParaRPr lang="es-CO"/>
        </a:p>
      </c:txPr>
    </c:title>
    <c:autoTitleDeleted val="0"/>
    <c:plotArea>
      <c:layout>
        <c:manualLayout>
          <c:layoutTarget val="inner"/>
          <c:xMode val="edge"/>
          <c:yMode val="edge"/>
          <c:x val="0.12978937007874017"/>
          <c:y val="0.27454068241469815"/>
          <c:w val="0.8396550743657043"/>
          <c:h val="0.64918062812241939"/>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69FE-462F-A194-52FF710807EE}"/>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69FE-462F-A194-52FF710807EE}"/>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69FE-462F-A194-52FF710807EE}"/>
              </c:ext>
            </c:extLst>
          </c:dPt>
          <c:dPt>
            <c:idx val="3"/>
            <c:invertIfNegative val="0"/>
            <c:bubble3D val="0"/>
            <c:spPr>
              <a:solidFill>
                <a:srgbClr val="7030A0"/>
              </a:solidFill>
              <a:ln>
                <a:noFill/>
              </a:ln>
              <a:effectLst/>
            </c:spPr>
            <c:extLst>
              <c:ext xmlns:c16="http://schemas.microsoft.com/office/drawing/2014/chart" uri="{C3380CC4-5D6E-409C-BE32-E72D297353CC}">
                <c16:uniqueId val="{00000007-69FE-462F-A194-52FF710807EE}"/>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69FE-462F-A194-52FF710807EE}"/>
              </c:ext>
            </c:extLst>
          </c:dPt>
          <c:dPt>
            <c:idx val="5"/>
            <c:invertIfNegative val="0"/>
            <c:bubble3D val="0"/>
            <c:spPr>
              <a:solidFill>
                <a:srgbClr val="00FFFF"/>
              </a:solidFill>
              <a:ln>
                <a:noFill/>
              </a:ln>
              <a:effectLst/>
            </c:spPr>
            <c:extLst>
              <c:ext xmlns:c16="http://schemas.microsoft.com/office/drawing/2014/chart" uri="{C3380CC4-5D6E-409C-BE32-E72D297353CC}">
                <c16:uniqueId val="{0000000B-69FE-462F-A194-52FF710807EE}"/>
              </c:ext>
            </c:extLst>
          </c:dPt>
          <c:dPt>
            <c:idx val="6"/>
            <c:invertIfNegative val="0"/>
            <c:bubble3D val="0"/>
            <c:spPr>
              <a:solidFill>
                <a:srgbClr val="008080"/>
              </a:solidFill>
              <a:ln>
                <a:noFill/>
              </a:ln>
              <a:effectLst/>
            </c:spPr>
            <c:extLst>
              <c:ext xmlns:c16="http://schemas.microsoft.com/office/drawing/2014/chart" uri="{C3380CC4-5D6E-409C-BE32-E72D297353CC}">
                <c16:uniqueId val="{0000000D-69FE-462F-A194-52FF710807EE}"/>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3 (2)'!$E$11:$E$18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3 (2)'!$F$11:$F$18</c:f>
              <c:numCache>
                <c:formatCode>#,##0.00</c:formatCode>
                <c:ptCount val="8"/>
                <c:pt idx="0">
                  <c:v>0</c:v>
                </c:pt>
                <c:pt idx="1">
                  <c:v>0</c:v>
                </c:pt>
                <c:pt idx="2">
                  <c:v>354.84100000000001</c:v>
                </c:pt>
                <c:pt idx="3">
                  <c:v>52.040999999999997</c:v>
                </c:pt>
                <c:pt idx="4">
                  <c:v>66.518692999999999</c:v>
                </c:pt>
                <c:pt idx="5">
                  <c:v>37.969633000000002</c:v>
                </c:pt>
                <c:pt idx="6">
                  <c:v>33.689905500000002</c:v>
                </c:pt>
                <c:pt idx="7">
                  <c:v>42.978797</c:v>
                </c:pt>
              </c:numCache>
            </c:numRef>
          </c:val>
          <c:extLst>
            <c:ext xmlns:c16="http://schemas.microsoft.com/office/drawing/2014/chart" uri="{C3380CC4-5D6E-409C-BE32-E72D297353CC}">
              <c16:uniqueId val="{0000000E-69FE-462F-A194-52FF710807EE}"/>
            </c:ext>
          </c:extLst>
        </c:ser>
        <c:dLbls>
          <c:dLblPos val="outEnd"/>
          <c:showLegendKey val="0"/>
          <c:showVal val="1"/>
          <c:showCatName val="0"/>
          <c:showSerName val="0"/>
          <c:showPercent val="0"/>
          <c:showBubbleSize val="0"/>
        </c:dLbls>
        <c:gapWidth val="219"/>
        <c:overlap val="-27"/>
        <c:axId val="413794304"/>
        <c:axId val="413795872"/>
      </c:barChart>
      <c:catAx>
        <c:axId val="413794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95872"/>
        <c:crosses val="autoZero"/>
        <c:auto val="1"/>
        <c:lblAlgn val="ctr"/>
        <c:lblOffset val="100"/>
        <c:noMultiLvlLbl val="0"/>
      </c:catAx>
      <c:valAx>
        <c:axId val="413795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3794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chemeClr val="accent2">
                    <a:lumMod val="75000"/>
                  </a:schemeClr>
                </a:solidFill>
                <a:latin typeface="+mn-lt"/>
                <a:ea typeface="+mn-ea"/>
                <a:cs typeface="+mn-cs"/>
              </a:defRPr>
            </a:pPr>
            <a:r>
              <a:rPr lang="es-CO" sz="1600" b="1" i="0" u="none" strike="noStrike" baseline="0">
                <a:effectLst/>
              </a:rPr>
              <a:t>Inversión acumulada </a:t>
            </a:r>
            <a:r>
              <a:rPr lang="es-CO" sz="1600" b="1">
                <a:solidFill>
                  <a:schemeClr val="accent2">
                    <a:lumMod val="75000"/>
                  </a:schemeClr>
                </a:solidFill>
              </a:rPr>
              <a:t>Pilar 3</a:t>
            </a:r>
          </a:p>
          <a:p>
            <a:pPr>
              <a:defRPr sz="1600" b="1">
                <a:solidFill>
                  <a:schemeClr val="accent2">
                    <a:lumMod val="75000"/>
                  </a:schemeClr>
                </a:solidFill>
              </a:defRPr>
            </a:pPr>
            <a:r>
              <a:rPr lang="es-CO" sz="1600" b="1">
                <a:solidFill>
                  <a:schemeClr val="accent2">
                    <a:lumMod val="75000"/>
                  </a:schemeClr>
                </a:solidFill>
              </a:rPr>
              <a:t>Extensión y Relaciones</a:t>
            </a:r>
            <a:r>
              <a:rPr lang="es-CO" sz="1600" b="1" baseline="0">
                <a:solidFill>
                  <a:schemeClr val="accent2">
                    <a:lumMod val="75000"/>
                  </a:schemeClr>
                </a:solidFill>
              </a:rPr>
              <a:t> con el Medio</a:t>
            </a:r>
            <a:endParaRPr lang="es-CO" sz="1600" b="1">
              <a:solidFill>
                <a:schemeClr val="accent2">
                  <a:lumMod val="75000"/>
                </a:schemeClr>
              </a:solidFill>
            </a:endParaRP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accent2">
                  <a:lumMod val="75000"/>
                </a:schemeClr>
              </a:solidFill>
              <a:latin typeface="+mn-lt"/>
              <a:ea typeface="+mn-ea"/>
              <a:cs typeface="+mn-cs"/>
            </a:defRPr>
          </a:pPr>
          <a:endParaRPr lang="es-CO"/>
        </a:p>
      </c:txPr>
    </c:title>
    <c:autoTitleDeleted val="0"/>
    <c:plotArea>
      <c:layout>
        <c:manualLayout>
          <c:layoutTarget val="inner"/>
          <c:xMode val="edge"/>
          <c:yMode val="edge"/>
          <c:x val="0.12978937007874017"/>
          <c:y val="0.23406205731132923"/>
          <c:w val="0.8396550743657043"/>
          <c:h val="0.68965908028619727"/>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3381-4D6F-8441-B5A2EFCBD47B}"/>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3381-4D6F-8441-B5A2EFCBD47B}"/>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3381-4D6F-8441-B5A2EFCBD47B}"/>
              </c:ext>
            </c:extLst>
          </c:dPt>
          <c:dPt>
            <c:idx val="3"/>
            <c:invertIfNegative val="0"/>
            <c:bubble3D val="0"/>
            <c:spPr>
              <a:solidFill>
                <a:srgbClr val="7030A0"/>
              </a:solidFill>
              <a:ln>
                <a:noFill/>
              </a:ln>
              <a:effectLst/>
            </c:spPr>
            <c:extLst>
              <c:ext xmlns:c16="http://schemas.microsoft.com/office/drawing/2014/chart" uri="{C3380CC4-5D6E-409C-BE32-E72D297353CC}">
                <c16:uniqueId val="{00000007-3381-4D6F-8441-B5A2EFCBD47B}"/>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3381-4D6F-8441-B5A2EFCBD47B}"/>
              </c:ext>
            </c:extLst>
          </c:dPt>
          <c:dPt>
            <c:idx val="5"/>
            <c:invertIfNegative val="0"/>
            <c:bubble3D val="0"/>
            <c:spPr>
              <a:solidFill>
                <a:srgbClr val="00FFFF"/>
              </a:solidFill>
              <a:ln>
                <a:noFill/>
              </a:ln>
              <a:effectLst/>
            </c:spPr>
            <c:extLst>
              <c:ext xmlns:c16="http://schemas.microsoft.com/office/drawing/2014/chart" uri="{C3380CC4-5D6E-409C-BE32-E72D297353CC}">
                <c16:uniqueId val="{0000000B-3381-4D6F-8441-B5A2EFCBD47B}"/>
              </c:ext>
            </c:extLst>
          </c:dPt>
          <c:dPt>
            <c:idx val="6"/>
            <c:invertIfNegative val="0"/>
            <c:bubble3D val="0"/>
            <c:spPr>
              <a:solidFill>
                <a:srgbClr val="008080"/>
              </a:solidFill>
              <a:ln>
                <a:noFill/>
              </a:ln>
              <a:effectLst/>
            </c:spPr>
            <c:extLst>
              <c:ext xmlns:c16="http://schemas.microsoft.com/office/drawing/2014/chart" uri="{C3380CC4-5D6E-409C-BE32-E72D297353CC}">
                <c16:uniqueId val="{0000000D-3381-4D6F-8441-B5A2EFCBD47B}"/>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3'!$E$11:$E$18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3'!$F$11:$F$18</c:f>
              <c:numCache>
                <c:formatCode>#,##0.00</c:formatCode>
                <c:ptCount val="8"/>
                <c:pt idx="0">
                  <c:v>0</c:v>
                </c:pt>
                <c:pt idx="1">
                  <c:v>0</c:v>
                </c:pt>
                <c:pt idx="2">
                  <c:v>354.84100000000001</c:v>
                </c:pt>
                <c:pt idx="3">
                  <c:v>406.88200000000001</c:v>
                </c:pt>
                <c:pt idx="4">
                  <c:v>473.40069299999999</c:v>
                </c:pt>
                <c:pt idx="5">
                  <c:v>511.37032599999998</c:v>
                </c:pt>
                <c:pt idx="6">
                  <c:v>545.06023149999999</c:v>
                </c:pt>
                <c:pt idx="7">
                  <c:v>588.03902849999997</c:v>
                </c:pt>
              </c:numCache>
            </c:numRef>
          </c:val>
          <c:extLst>
            <c:ext xmlns:c16="http://schemas.microsoft.com/office/drawing/2014/chart" uri="{C3380CC4-5D6E-409C-BE32-E72D297353CC}">
              <c16:uniqueId val="{0000000E-3381-4D6F-8441-B5A2EFCBD47B}"/>
            </c:ext>
          </c:extLst>
        </c:ser>
        <c:dLbls>
          <c:dLblPos val="outEnd"/>
          <c:showLegendKey val="0"/>
          <c:showVal val="1"/>
          <c:showCatName val="0"/>
          <c:showSerName val="0"/>
          <c:showPercent val="0"/>
          <c:showBubbleSize val="0"/>
        </c:dLbls>
        <c:gapWidth val="219"/>
        <c:overlap val="-27"/>
        <c:axId val="310452400"/>
        <c:axId val="310457104"/>
      </c:barChart>
      <c:catAx>
        <c:axId val="310452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7104"/>
        <c:crosses val="autoZero"/>
        <c:auto val="1"/>
        <c:lblAlgn val="ctr"/>
        <c:lblOffset val="100"/>
        <c:noMultiLvlLbl val="0"/>
      </c:catAx>
      <c:valAx>
        <c:axId val="3104571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2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rgbClr val="7030A0"/>
                </a:solidFill>
                <a:latin typeface="+mn-lt"/>
                <a:ea typeface="+mn-ea"/>
                <a:cs typeface="+mn-cs"/>
              </a:defRPr>
            </a:pPr>
            <a:r>
              <a:rPr lang="es-CO" sz="1600" b="1" i="0" u="none" strike="noStrike" baseline="0">
                <a:effectLst/>
              </a:rPr>
              <a:t>Inversión Anual </a:t>
            </a:r>
            <a:r>
              <a:rPr lang="es-CO" sz="1600" b="1">
                <a:solidFill>
                  <a:srgbClr val="7030A0"/>
                </a:solidFill>
              </a:rPr>
              <a:t>Pilar 4</a:t>
            </a:r>
          </a:p>
          <a:p>
            <a:pPr>
              <a:defRPr sz="1600" b="1">
                <a:solidFill>
                  <a:srgbClr val="7030A0"/>
                </a:solidFill>
              </a:defRPr>
            </a:pPr>
            <a:r>
              <a:rPr lang="es-CO" sz="1600" b="1">
                <a:solidFill>
                  <a:srgbClr val="7030A0"/>
                </a:solidFill>
              </a:rPr>
              <a:t>Internacionalización</a:t>
            </a:r>
          </a:p>
        </c:rich>
      </c:tx>
      <c:overlay val="0"/>
      <c:spPr>
        <a:noFill/>
        <a:ln>
          <a:noFill/>
        </a:ln>
        <a:effectLst/>
      </c:spPr>
      <c:txPr>
        <a:bodyPr rot="0" spcFirstLastPara="1" vertOverflow="ellipsis" vert="horz" wrap="square" anchor="ctr" anchorCtr="1"/>
        <a:lstStyle/>
        <a:p>
          <a:pPr>
            <a:defRPr sz="1600" b="1" i="0" u="none" strike="noStrike" kern="1200" spc="0" baseline="0">
              <a:solidFill>
                <a:srgbClr val="7030A0"/>
              </a:solidFill>
              <a:latin typeface="+mn-lt"/>
              <a:ea typeface="+mn-ea"/>
              <a:cs typeface="+mn-cs"/>
            </a:defRPr>
          </a:pPr>
          <a:endParaRPr lang="es-CO"/>
        </a:p>
      </c:txPr>
    </c:title>
    <c:autoTitleDeleted val="0"/>
    <c:plotArea>
      <c:layout>
        <c:manualLayout>
          <c:layoutTarget val="inner"/>
          <c:xMode val="edge"/>
          <c:yMode val="edge"/>
          <c:x val="0.12978937007874017"/>
          <c:y val="0.25295803140886458"/>
          <c:w val="0.8396550743657043"/>
          <c:h val="0.66642948701179794"/>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7096-4EFD-AFD6-8DDCC8CC1DE1}"/>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7096-4EFD-AFD6-8DDCC8CC1DE1}"/>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7096-4EFD-AFD6-8DDCC8CC1DE1}"/>
              </c:ext>
            </c:extLst>
          </c:dPt>
          <c:dPt>
            <c:idx val="3"/>
            <c:invertIfNegative val="0"/>
            <c:bubble3D val="0"/>
            <c:spPr>
              <a:solidFill>
                <a:srgbClr val="7030A0"/>
              </a:solidFill>
              <a:ln>
                <a:noFill/>
              </a:ln>
              <a:effectLst/>
            </c:spPr>
            <c:extLst>
              <c:ext xmlns:c16="http://schemas.microsoft.com/office/drawing/2014/chart" uri="{C3380CC4-5D6E-409C-BE32-E72D297353CC}">
                <c16:uniqueId val="{00000007-7096-4EFD-AFD6-8DDCC8CC1DE1}"/>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7096-4EFD-AFD6-8DDCC8CC1DE1}"/>
              </c:ext>
            </c:extLst>
          </c:dPt>
          <c:dPt>
            <c:idx val="5"/>
            <c:invertIfNegative val="0"/>
            <c:bubble3D val="0"/>
            <c:spPr>
              <a:solidFill>
                <a:srgbClr val="00FFFF"/>
              </a:solidFill>
              <a:ln>
                <a:noFill/>
              </a:ln>
              <a:effectLst/>
            </c:spPr>
            <c:extLst>
              <c:ext xmlns:c16="http://schemas.microsoft.com/office/drawing/2014/chart" uri="{C3380CC4-5D6E-409C-BE32-E72D297353CC}">
                <c16:uniqueId val="{0000000B-7096-4EFD-AFD6-8DDCC8CC1DE1}"/>
              </c:ext>
            </c:extLst>
          </c:dPt>
          <c:dPt>
            <c:idx val="6"/>
            <c:invertIfNegative val="0"/>
            <c:bubble3D val="0"/>
            <c:spPr>
              <a:solidFill>
                <a:srgbClr val="008080"/>
              </a:solidFill>
              <a:ln>
                <a:noFill/>
              </a:ln>
              <a:effectLst/>
            </c:spPr>
            <c:extLst>
              <c:ext xmlns:c16="http://schemas.microsoft.com/office/drawing/2014/chart" uri="{C3380CC4-5D6E-409C-BE32-E72D297353CC}">
                <c16:uniqueId val="{0000000D-7096-4EFD-AFD6-8DDCC8CC1DE1}"/>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4 (2)'!$E$11:$E$18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4 (2)'!$F$11:$F$18</c:f>
              <c:numCache>
                <c:formatCode>#,##0.00</c:formatCode>
                <c:ptCount val="8"/>
                <c:pt idx="0">
                  <c:v>0</c:v>
                </c:pt>
                <c:pt idx="1">
                  <c:v>0</c:v>
                </c:pt>
                <c:pt idx="2">
                  <c:v>26.693999999999999</c:v>
                </c:pt>
                <c:pt idx="3">
                  <c:v>25.498999999999999</c:v>
                </c:pt>
                <c:pt idx="4">
                  <c:v>73.196997999999994</c:v>
                </c:pt>
                <c:pt idx="5">
                  <c:v>110.339111</c:v>
                </c:pt>
                <c:pt idx="6">
                  <c:v>179.16031100000001</c:v>
                </c:pt>
                <c:pt idx="7">
                  <c:v>146.61805799999999</c:v>
                </c:pt>
              </c:numCache>
            </c:numRef>
          </c:val>
          <c:extLst>
            <c:ext xmlns:c16="http://schemas.microsoft.com/office/drawing/2014/chart" uri="{C3380CC4-5D6E-409C-BE32-E72D297353CC}">
              <c16:uniqueId val="{0000000E-7096-4EFD-AFD6-8DDCC8CC1DE1}"/>
            </c:ext>
          </c:extLst>
        </c:ser>
        <c:dLbls>
          <c:dLblPos val="outEnd"/>
          <c:showLegendKey val="0"/>
          <c:showVal val="1"/>
          <c:showCatName val="0"/>
          <c:showSerName val="0"/>
          <c:showPercent val="0"/>
          <c:showBubbleSize val="0"/>
        </c:dLbls>
        <c:gapWidth val="219"/>
        <c:overlap val="-27"/>
        <c:axId val="310454360"/>
        <c:axId val="310453184"/>
      </c:barChart>
      <c:catAx>
        <c:axId val="310454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3184"/>
        <c:crosses val="autoZero"/>
        <c:auto val="1"/>
        <c:lblAlgn val="ctr"/>
        <c:lblOffset val="100"/>
        <c:noMultiLvlLbl val="0"/>
      </c:catAx>
      <c:valAx>
        <c:axId val="3104531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4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rgbClr val="7030A0"/>
                </a:solidFill>
                <a:latin typeface="+mn-lt"/>
                <a:ea typeface="+mn-ea"/>
                <a:cs typeface="+mn-cs"/>
              </a:defRPr>
            </a:pPr>
            <a:r>
              <a:rPr lang="es-CO" sz="1600" b="1" i="0" u="none" strike="noStrike" baseline="0">
                <a:effectLst/>
              </a:rPr>
              <a:t>Inversión acumulada </a:t>
            </a:r>
            <a:r>
              <a:rPr lang="es-CO" sz="1600" b="1">
                <a:solidFill>
                  <a:srgbClr val="7030A0"/>
                </a:solidFill>
              </a:rPr>
              <a:t>Pilar 4</a:t>
            </a:r>
          </a:p>
          <a:p>
            <a:pPr>
              <a:defRPr sz="1600" b="1">
                <a:solidFill>
                  <a:srgbClr val="7030A0"/>
                </a:solidFill>
              </a:defRPr>
            </a:pPr>
            <a:r>
              <a:rPr lang="es-CO" sz="1600" b="1">
                <a:solidFill>
                  <a:srgbClr val="7030A0"/>
                </a:solidFill>
              </a:rPr>
              <a:t>Internacionalización</a:t>
            </a:r>
          </a:p>
        </c:rich>
      </c:tx>
      <c:overlay val="0"/>
      <c:spPr>
        <a:noFill/>
        <a:ln>
          <a:noFill/>
        </a:ln>
        <a:effectLst/>
      </c:spPr>
      <c:txPr>
        <a:bodyPr rot="0" spcFirstLastPara="1" vertOverflow="ellipsis" vert="horz" wrap="square" anchor="ctr" anchorCtr="1"/>
        <a:lstStyle/>
        <a:p>
          <a:pPr>
            <a:defRPr sz="1600" b="1" i="0" u="none" strike="noStrike" kern="1200" spc="0" baseline="0">
              <a:solidFill>
                <a:srgbClr val="7030A0"/>
              </a:solidFill>
              <a:latin typeface="+mn-lt"/>
              <a:ea typeface="+mn-ea"/>
              <a:cs typeface="+mn-cs"/>
            </a:defRPr>
          </a:pPr>
          <a:endParaRPr lang="es-CO"/>
        </a:p>
      </c:txPr>
    </c:title>
    <c:autoTitleDeleted val="0"/>
    <c:plotArea>
      <c:layout>
        <c:manualLayout>
          <c:layoutTarget val="inner"/>
          <c:xMode val="edge"/>
          <c:yMode val="edge"/>
          <c:x val="0.12978937007874017"/>
          <c:y val="0.24639230775764684"/>
          <c:w val="0.8396550743657043"/>
          <c:h val="0.67508226520228665"/>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E9B5-4BC1-88C9-9EE5C04EB15E}"/>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E9B5-4BC1-88C9-9EE5C04EB15E}"/>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E9B5-4BC1-88C9-9EE5C04EB15E}"/>
              </c:ext>
            </c:extLst>
          </c:dPt>
          <c:dPt>
            <c:idx val="3"/>
            <c:invertIfNegative val="0"/>
            <c:bubble3D val="0"/>
            <c:spPr>
              <a:solidFill>
                <a:srgbClr val="7030A0"/>
              </a:solidFill>
              <a:ln>
                <a:noFill/>
              </a:ln>
              <a:effectLst/>
            </c:spPr>
            <c:extLst>
              <c:ext xmlns:c16="http://schemas.microsoft.com/office/drawing/2014/chart" uri="{C3380CC4-5D6E-409C-BE32-E72D297353CC}">
                <c16:uniqueId val="{00000007-E9B5-4BC1-88C9-9EE5C04EB15E}"/>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E9B5-4BC1-88C9-9EE5C04EB15E}"/>
              </c:ext>
            </c:extLst>
          </c:dPt>
          <c:dPt>
            <c:idx val="5"/>
            <c:invertIfNegative val="0"/>
            <c:bubble3D val="0"/>
            <c:spPr>
              <a:solidFill>
                <a:srgbClr val="00FFFF"/>
              </a:solidFill>
              <a:ln>
                <a:noFill/>
              </a:ln>
              <a:effectLst/>
            </c:spPr>
            <c:extLst>
              <c:ext xmlns:c16="http://schemas.microsoft.com/office/drawing/2014/chart" uri="{C3380CC4-5D6E-409C-BE32-E72D297353CC}">
                <c16:uniqueId val="{0000000B-E9B5-4BC1-88C9-9EE5C04EB15E}"/>
              </c:ext>
            </c:extLst>
          </c:dPt>
          <c:dPt>
            <c:idx val="6"/>
            <c:invertIfNegative val="0"/>
            <c:bubble3D val="0"/>
            <c:spPr>
              <a:solidFill>
                <a:srgbClr val="008080"/>
              </a:solidFill>
              <a:ln>
                <a:noFill/>
              </a:ln>
              <a:effectLst/>
            </c:spPr>
            <c:extLst>
              <c:ext xmlns:c16="http://schemas.microsoft.com/office/drawing/2014/chart" uri="{C3380CC4-5D6E-409C-BE32-E72D297353CC}">
                <c16:uniqueId val="{0000000D-E9B5-4BC1-88C9-9EE5C04EB15E}"/>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4'!$E$11:$E$18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4'!$F$11:$F$18</c:f>
              <c:numCache>
                <c:formatCode>#,##0.00</c:formatCode>
                <c:ptCount val="8"/>
                <c:pt idx="0">
                  <c:v>0</c:v>
                </c:pt>
                <c:pt idx="1">
                  <c:v>0</c:v>
                </c:pt>
                <c:pt idx="2">
                  <c:v>26.693999999999999</c:v>
                </c:pt>
                <c:pt idx="3">
                  <c:v>52.192999999999998</c:v>
                </c:pt>
                <c:pt idx="4">
                  <c:v>125.38999799999999</c:v>
                </c:pt>
                <c:pt idx="5">
                  <c:v>235.72910899999999</c:v>
                </c:pt>
                <c:pt idx="6">
                  <c:v>414.88941999999997</c:v>
                </c:pt>
                <c:pt idx="7">
                  <c:v>561.50747799999999</c:v>
                </c:pt>
              </c:numCache>
            </c:numRef>
          </c:val>
          <c:extLst>
            <c:ext xmlns:c16="http://schemas.microsoft.com/office/drawing/2014/chart" uri="{C3380CC4-5D6E-409C-BE32-E72D297353CC}">
              <c16:uniqueId val="{0000000E-E9B5-4BC1-88C9-9EE5C04EB15E}"/>
            </c:ext>
          </c:extLst>
        </c:ser>
        <c:dLbls>
          <c:dLblPos val="outEnd"/>
          <c:showLegendKey val="0"/>
          <c:showVal val="1"/>
          <c:showCatName val="0"/>
          <c:showSerName val="0"/>
          <c:showPercent val="0"/>
          <c:showBubbleSize val="0"/>
        </c:dLbls>
        <c:gapWidth val="219"/>
        <c:overlap val="-27"/>
        <c:axId val="310454752"/>
        <c:axId val="310458672"/>
      </c:barChart>
      <c:catAx>
        <c:axId val="310454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8672"/>
        <c:crosses val="autoZero"/>
        <c:auto val="1"/>
        <c:lblAlgn val="ctr"/>
        <c:lblOffset val="100"/>
        <c:noMultiLvlLbl val="0"/>
      </c:catAx>
      <c:valAx>
        <c:axId val="3104586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4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chemeClr val="accent6">
                    <a:lumMod val="75000"/>
                  </a:schemeClr>
                </a:solidFill>
                <a:latin typeface="+mn-lt"/>
                <a:ea typeface="+mn-ea"/>
                <a:cs typeface="+mn-cs"/>
              </a:defRPr>
            </a:pPr>
            <a:r>
              <a:rPr lang="es-CO" sz="1600" b="1" i="0" u="none" strike="noStrike" baseline="0">
                <a:effectLst/>
              </a:rPr>
              <a:t>Inversión Anual </a:t>
            </a:r>
            <a:r>
              <a:rPr lang="es-CO" sz="1600" b="1">
                <a:solidFill>
                  <a:schemeClr val="accent6">
                    <a:lumMod val="75000"/>
                  </a:schemeClr>
                </a:solidFill>
              </a:rPr>
              <a:t>Pilar 5</a:t>
            </a:r>
          </a:p>
          <a:p>
            <a:pPr>
              <a:defRPr sz="1600" b="1">
                <a:solidFill>
                  <a:schemeClr val="accent6">
                    <a:lumMod val="75000"/>
                  </a:schemeClr>
                </a:solidFill>
              </a:defRPr>
            </a:pPr>
            <a:r>
              <a:rPr lang="es-CO" sz="1600" b="1">
                <a:solidFill>
                  <a:schemeClr val="accent6">
                    <a:lumMod val="75000"/>
                  </a:schemeClr>
                </a:solidFill>
              </a:rPr>
              <a:t>Bienestar Uniquindiano</a:t>
            </a:r>
          </a:p>
        </c:rich>
      </c:tx>
      <c:layout>
        <c:manualLayout>
          <c:xMode val="edge"/>
          <c:yMode val="edge"/>
          <c:x val="0.29400641992921617"/>
          <c:y val="1.9995428499365503E-2"/>
        </c:manualLayout>
      </c:layout>
      <c:overlay val="0"/>
      <c:spPr>
        <a:noFill/>
        <a:ln>
          <a:noFill/>
        </a:ln>
        <a:effectLst/>
      </c:spPr>
      <c:txPr>
        <a:bodyPr rot="0" spcFirstLastPara="1" vertOverflow="ellipsis" vert="horz" wrap="square" anchor="ctr" anchorCtr="1"/>
        <a:lstStyle/>
        <a:p>
          <a:pPr>
            <a:defRPr sz="1600" b="1" i="0" u="none" strike="noStrike" kern="1200" spc="0" baseline="0">
              <a:solidFill>
                <a:schemeClr val="accent6">
                  <a:lumMod val="75000"/>
                </a:schemeClr>
              </a:solidFill>
              <a:latin typeface="+mn-lt"/>
              <a:ea typeface="+mn-ea"/>
              <a:cs typeface="+mn-cs"/>
            </a:defRPr>
          </a:pPr>
          <a:endParaRPr lang="es-CO"/>
        </a:p>
      </c:txPr>
    </c:title>
    <c:autoTitleDeleted val="0"/>
    <c:plotArea>
      <c:layout>
        <c:manualLayout>
          <c:layoutTarget val="inner"/>
          <c:xMode val="edge"/>
          <c:yMode val="edge"/>
          <c:x val="0.12978937007874017"/>
          <c:y val="0.22057995002876896"/>
          <c:w val="0.8396550743657043"/>
          <c:h val="0.70314125148770823"/>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EC14-4BBA-886A-A266E2B84715}"/>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EC14-4BBA-886A-A266E2B84715}"/>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EC14-4BBA-886A-A266E2B84715}"/>
              </c:ext>
            </c:extLst>
          </c:dPt>
          <c:dPt>
            <c:idx val="3"/>
            <c:invertIfNegative val="0"/>
            <c:bubble3D val="0"/>
            <c:spPr>
              <a:solidFill>
                <a:srgbClr val="7030A0"/>
              </a:solidFill>
              <a:ln>
                <a:noFill/>
              </a:ln>
              <a:effectLst/>
            </c:spPr>
            <c:extLst>
              <c:ext xmlns:c16="http://schemas.microsoft.com/office/drawing/2014/chart" uri="{C3380CC4-5D6E-409C-BE32-E72D297353CC}">
                <c16:uniqueId val="{00000007-EC14-4BBA-886A-A266E2B84715}"/>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EC14-4BBA-886A-A266E2B84715}"/>
              </c:ext>
            </c:extLst>
          </c:dPt>
          <c:dPt>
            <c:idx val="5"/>
            <c:invertIfNegative val="0"/>
            <c:bubble3D val="0"/>
            <c:spPr>
              <a:solidFill>
                <a:srgbClr val="00FFFF"/>
              </a:solidFill>
              <a:ln>
                <a:noFill/>
              </a:ln>
              <a:effectLst/>
            </c:spPr>
            <c:extLst>
              <c:ext xmlns:c16="http://schemas.microsoft.com/office/drawing/2014/chart" uri="{C3380CC4-5D6E-409C-BE32-E72D297353CC}">
                <c16:uniqueId val="{0000000B-EC14-4BBA-886A-A266E2B84715}"/>
              </c:ext>
            </c:extLst>
          </c:dPt>
          <c:dPt>
            <c:idx val="6"/>
            <c:invertIfNegative val="0"/>
            <c:bubble3D val="0"/>
            <c:spPr>
              <a:solidFill>
                <a:srgbClr val="008080"/>
              </a:solidFill>
              <a:ln>
                <a:noFill/>
              </a:ln>
              <a:effectLst/>
            </c:spPr>
            <c:extLst>
              <c:ext xmlns:c16="http://schemas.microsoft.com/office/drawing/2014/chart" uri="{C3380CC4-5D6E-409C-BE32-E72D297353CC}">
                <c16:uniqueId val="{0000000D-EC14-4BBA-886A-A266E2B84715}"/>
              </c:ext>
            </c:extLst>
          </c:dPt>
          <c:dLbls>
            <c:dLbl>
              <c:idx val="1"/>
              <c:layout>
                <c:manualLayout>
                  <c:x val="0"/>
                  <c:y val="-2.285714285714292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C14-4BBA-886A-A266E2B84715}"/>
                </c:ext>
              </c:extLst>
            </c:dLbl>
            <c:dLbl>
              <c:idx val="2"/>
              <c:layout>
                <c:manualLayout>
                  <c:x val="4.5183294017372251E-17"/>
                  <c:y val="-3.047619047619047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C14-4BBA-886A-A266E2B84715}"/>
                </c:ext>
              </c:extLst>
            </c:dLbl>
            <c:dLbl>
              <c:idx val="3"/>
              <c:layout>
                <c:manualLayout>
                  <c:x val="0"/>
                  <c:y val="-6.476190476190482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C14-4BBA-886A-A266E2B84715}"/>
                </c:ext>
              </c:extLst>
            </c:dLbl>
            <c:dLbl>
              <c:idx val="4"/>
              <c:layout>
                <c:manualLayout>
                  <c:x val="0"/>
                  <c:y val="-5.71428571428572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C14-4BBA-886A-A266E2B84715}"/>
                </c:ext>
              </c:extLst>
            </c:dLbl>
            <c:dLbl>
              <c:idx val="5"/>
              <c:layout>
                <c:manualLayout>
                  <c:x val="0"/>
                  <c:y val="-9.142857142857142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C14-4BBA-886A-A266E2B84715}"/>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5 (2)'!$E$11:$E$18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5 (2)'!$F$11:$F$18</c:f>
              <c:numCache>
                <c:formatCode>#,##0.00</c:formatCode>
                <c:ptCount val="8"/>
                <c:pt idx="0">
                  <c:v>961.47299999999996</c:v>
                </c:pt>
                <c:pt idx="1">
                  <c:v>1040.2460000000001</c:v>
                </c:pt>
                <c:pt idx="2">
                  <c:v>1158.404</c:v>
                </c:pt>
                <c:pt idx="3">
                  <c:v>1159.8440000000001</c:v>
                </c:pt>
                <c:pt idx="4">
                  <c:v>1451.2072439999999</c:v>
                </c:pt>
                <c:pt idx="5">
                  <c:v>1605.83489504</c:v>
                </c:pt>
                <c:pt idx="6">
                  <c:v>2324.6072076</c:v>
                </c:pt>
                <c:pt idx="7">
                  <c:v>2511.5737388199996</c:v>
                </c:pt>
              </c:numCache>
            </c:numRef>
          </c:val>
          <c:extLst>
            <c:ext xmlns:c16="http://schemas.microsoft.com/office/drawing/2014/chart" uri="{C3380CC4-5D6E-409C-BE32-E72D297353CC}">
              <c16:uniqueId val="{0000000E-EC14-4BBA-886A-A266E2B84715}"/>
            </c:ext>
          </c:extLst>
        </c:ser>
        <c:dLbls>
          <c:dLblPos val="outEnd"/>
          <c:showLegendKey val="0"/>
          <c:showVal val="1"/>
          <c:showCatName val="0"/>
          <c:showSerName val="0"/>
          <c:showPercent val="0"/>
          <c:showBubbleSize val="0"/>
        </c:dLbls>
        <c:gapWidth val="219"/>
        <c:overlap val="-27"/>
        <c:axId val="310459456"/>
        <c:axId val="310455536"/>
      </c:barChart>
      <c:catAx>
        <c:axId val="310459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5536"/>
        <c:crosses val="autoZero"/>
        <c:auto val="1"/>
        <c:lblAlgn val="ctr"/>
        <c:lblOffset val="100"/>
        <c:noMultiLvlLbl val="0"/>
      </c:catAx>
      <c:valAx>
        <c:axId val="3104555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9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spc="0" baseline="0">
                <a:solidFill>
                  <a:schemeClr val="accent6">
                    <a:lumMod val="75000"/>
                  </a:schemeClr>
                </a:solidFill>
                <a:latin typeface="+mn-lt"/>
                <a:ea typeface="+mn-ea"/>
                <a:cs typeface="+mn-cs"/>
              </a:defRPr>
            </a:pPr>
            <a:r>
              <a:rPr lang="es-CO" sz="1800" b="1" i="0" u="none" strike="noStrike" baseline="0">
                <a:effectLst/>
              </a:rPr>
              <a:t>Inversión acumulada </a:t>
            </a:r>
            <a:r>
              <a:rPr lang="es-CO" sz="1800" b="1">
                <a:solidFill>
                  <a:schemeClr val="accent6">
                    <a:lumMod val="75000"/>
                  </a:schemeClr>
                </a:solidFill>
              </a:rPr>
              <a:t>Pilar 5</a:t>
            </a:r>
          </a:p>
          <a:p>
            <a:pPr>
              <a:defRPr sz="1800" b="1">
                <a:solidFill>
                  <a:schemeClr val="accent6">
                    <a:lumMod val="75000"/>
                  </a:schemeClr>
                </a:solidFill>
              </a:defRPr>
            </a:pPr>
            <a:r>
              <a:rPr lang="es-CO" sz="1800" b="1">
                <a:solidFill>
                  <a:schemeClr val="accent6">
                    <a:lumMod val="75000"/>
                  </a:schemeClr>
                </a:solidFill>
              </a:rPr>
              <a:t>Bienestar Uniquindiano</a:t>
            </a:r>
          </a:p>
        </c:rich>
      </c:tx>
      <c:layout>
        <c:manualLayout>
          <c:xMode val="edge"/>
          <c:yMode val="edge"/>
          <c:x val="0.2703527181975599"/>
          <c:y val="1.723626085200888E-2"/>
        </c:manualLayout>
      </c:layout>
      <c:overlay val="0"/>
      <c:spPr>
        <a:noFill/>
        <a:ln>
          <a:noFill/>
        </a:ln>
        <a:effectLst/>
      </c:spPr>
      <c:txPr>
        <a:bodyPr rot="0" spcFirstLastPara="1" vertOverflow="ellipsis" vert="horz" wrap="square" anchor="ctr" anchorCtr="1"/>
        <a:lstStyle/>
        <a:p>
          <a:pPr>
            <a:defRPr sz="1800" b="1" i="0" u="none" strike="noStrike" kern="1200" spc="0" baseline="0">
              <a:solidFill>
                <a:schemeClr val="accent6">
                  <a:lumMod val="75000"/>
                </a:schemeClr>
              </a:solidFill>
              <a:latin typeface="+mn-lt"/>
              <a:ea typeface="+mn-ea"/>
              <a:cs typeface="+mn-cs"/>
            </a:defRPr>
          </a:pPr>
          <a:endParaRPr lang="es-CO"/>
        </a:p>
      </c:txPr>
    </c:title>
    <c:autoTitleDeleted val="0"/>
    <c:plotArea>
      <c:layout>
        <c:manualLayout>
          <c:layoutTarget val="inner"/>
          <c:xMode val="edge"/>
          <c:yMode val="edge"/>
          <c:x val="0.12978937007874017"/>
          <c:y val="0.23833313143549364"/>
          <c:w val="0.8396550743657043"/>
          <c:h val="0.68538792650918634"/>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A029-4D7C-8E06-5E3B16B82581}"/>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A029-4D7C-8E06-5E3B16B82581}"/>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A029-4D7C-8E06-5E3B16B82581}"/>
              </c:ext>
            </c:extLst>
          </c:dPt>
          <c:dPt>
            <c:idx val="3"/>
            <c:invertIfNegative val="0"/>
            <c:bubble3D val="0"/>
            <c:spPr>
              <a:solidFill>
                <a:srgbClr val="7030A0"/>
              </a:solidFill>
              <a:ln>
                <a:noFill/>
              </a:ln>
              <a:effectLst/>
            </c:spPr>
            <c:extLst>
              <c:ext xmlns:c16="http://schemas.microsoft.com/office/drawing/2014/chart" uri="{C3380CC4-5D6E-409C-BE32-E72D297353CC}">
                <c16:uniqueId val="{00000007-A029-4D7C-8E06-5E3B16B82581}"/>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A029-4D7C-8E06-5E3B16B82581}"/>
              </c:ext>
            </c:extLst>
          </c:dPt>
          <c:dPt>
            <c:idx val="5"/>
            <c:invertIfNegative val="0"/>
            <c:bubble3D val="0"/>
            <c:spPr>
              <a:solidFill>
                <a:srgbClr val="00FFFF"/>
              </a:solidFill>
              <a:ln>
                <a:noFill/>
              </a:ln>
              <a:effectLst/>
            </c:spPr>
            <c:extLst>
              <c:ext xmlns:c16="http://schemas.microsoft.com/office/drawing/2014/chart" uri="{C3380CC4-5D6E-409C-BE32-E72D297353CC}">
                <c16:uniqueId val="{0000000B-A029-4D7C-8E06-5E3B16B82581}"/>
              </c:ext>
            </c:extLst>
          </c:dPt>
          <c:dPt>
            <c:idx val="6"/>
            <c:invertIfNegative val="0"/>
            <c:bubble3D val="0"/>
            <c:spPr>
              <a:solidFill>
                <a:srgbClr val="008080"/>
              </a:solidFill>
              <a:ln>
                <a:noFill/>
              </a:ln>
              <a:effectLst/>
            </c:spPr>
            <c:extLst>
              <c:ext xmlns:c16="http://schemas.microsoft.com/office/drawing/2014/chart" uri="{C3380CC4-5D6E-409C-BE32-E72D297353CC}">
                <c16:uniqueId val="{0000000D-A029-4D7C-8E06-5E3B16B82581}"/>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5'!$E$11:$E$18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5'!$F$11:$F$18</c:f>
              <c:numCache>
                <c:formatCode>#,##0.00</c:formatCode>
                <c:ptCount val="8"/>
                <c:pt idx="0">
                  <c:v>961.47299999999996</c:v>
                </c:pt>
                <c:pt idx="1">
                  <c:v>2001.7190000000001</c:v>
                </c:pt>
                <c:pt idx="2">
                  <c:v>3160.123</c:v>
                </c:pt>
                <c:pt idx="3">
                  <c:v>4319.9670000000006</c:v>
                </c:pt>
                <c:pt idx="4">
                  <c:v>5771.1742440000007</c:v>
                </c:pt>
                <c:pt idx="5">
                  <c:v>7377.0091390400012</c:v>
                </c:pt>
                <c:pt idx="6">
                  <c:v>9701.6163466400012</c:v>
                </c:pt>
                <c:pt idx="7">
                  <c:v>12213.190085460001</c:v>
                </c:pt>
              </c:numCache>
            </c:numRef>
          </c:val>
          <c:extLst>
            <c:ext xmlns:c16="http://schemas.microsoft.com/office/drawing/2014/chart" uri="{C3380CC4-5D6E-409C-BE32-E72D297353CC}">
              <c16:uniqueId val="{0000000E-A029-4D7C-8E06-5E3B16B82581}"/>
            </c:ext>
          </c:extLst>
        </c:ser>
        <c:dLbls>
          <c:dLblPos val="outEnd"/>
          <c:showLegendKey val="0"/>
          <c:showVal val="1"/>
          <c:showCatName val="0"/>
          <c:showSerName val="0"/>
          <c:showPercent val="0"/>
          <c:showBubbleSize val="0"/>
        </c:dLbls>
        <c:gapWidth val="219"/>
        <c:overlap val="-27"/>
        <c:axId val="310456320"/>
        <c:axId val="310459064"/>
      </c:barChart>
      <c:catAx>
        <c:axId val="31045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9064"/>
        <c:crosses val="autoZero"/>
        <c:auto val="1"/>
        <c:lblAlgn val="ctr"/>
        <c:lblOffset val="100"/>
        <c:noMultiLvlLbl val="0"/>
      </c:catAx>
      <c:valAx>
        <c:axId val="3104590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6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rgbClr val="00B0F0"/>
                </a:solidFill>
                <a:latin typeface="+mn-lt"/>
                <a:ea typeface="+mn-ea"/>
                <a:cs typeface="+mn-cs"/>
              </a:defRPr>
            </a:pPr>
            <a:r>
              <a:rPr lang="es-CO" sz="1400" b="1" i="0" u="none" strike="noStrike" baseline="0">
                <a:effectLst/>
              </a:rPr>
              <a:t>Inversión Anual </a:t>
            </a:r>
            <a:r>
              <a:rPr lang="es-CO" sz="1400" b="1">
                <a:solidFill>
                  <a:srgbClr val="00B0F0"/>
                </a:solidFill>
              </a:rPr>
              <a:t>Pilar 6</a:t>
            </a:r>
          </a:p>
          <a:p>
            <a:pPr>
              <a:defRPr b="1">
                <a:solidFill>
                  <a:srgbClr val="00B0F0"/>
                </a:solidFill>
              </a:defRPr>
            </a:pPr>
            <a:r>
              <a:rPr lang="es-CO" sz="1400" b="1">
                <a:solidFill>
                  <a:srgbClr val="00B0F0"/>
                </a:solidFill>
              </a:rPr>
              <a:t>Gestión</a:t>
            </a:r>
            <a:r>
              <a:rPr lang="es-CO" sz="1400" b="1" baseline="0">
                <a:solidFill>
                  <a:srgbClr val="00B0F0"/>
                </a:solidFill>
              </a:rPr>
              <a:t> y Desarrollo Institucional</a:t>
            </a:r>
            <a:endParaRPr lang="es-CO" sz="1400" b="1">
              <a:solidFill>
                <a:srgbClr val="00B0F0"/>
              </a:solidFill>
            </a:endParaRPr>
          </a:p>
        </c:rich>
      </c:tx>
      <c:layout>
        <c:manualLayout>
          <c:xMode val="edge"/>
          <c:yMode val="edge"/>
          <c:x val="0.2128446955283006"/>
          <c:y val="3.9665950847053204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rgbClr val="00B0F0"/>
              </a:solidFill>
              <a:latin typeface="+mn-lt"/>
              <a:ea typeface="+mn-ea"/>
              <a:cs typeface="+mn-cs"/>
            </a:defRPr>
          </a:pPr>
          <a:endParaRPr lang="es-CO"/>
        </a:p>
      </c:txPr>
    </c:title>
    <c:autoTitleDeleted val="0"/>
    <c:plotArea>
      <c:layout>
        <c:manualLayout>
          <c:layoutTarget val="inner"/>
          <c:xMode val="edge"/>
          <c:yMode val="edge"/>
          <c:x val="0.12978937007874017"/>
          <c:y val="0.22984548419050924"/>
          <c:w val="0.8396550743657043"/>
          <c:h val="0.69387562091928601"/>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A6C5-492E-BF32-17AF177D4A51}"/>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A6C5-492E-BF32-17AF177D4A51}"/>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A6C5-492E-BF32-17AF177D4A51}"/>
              </c:ext>
            </c:extLst>
          </c:dPt>
          <c:dPt>
            <c:idx val="3"/>
            <c:invertIfNegative val="0"/>
            <c:bubble3D val="0"/>
            <c:spPr>
              <a:solidFill>
                <a:srgbClr val="7030A0"/>
              </a:solidFill>
              <a:ln>
                <a:noFill/>
              </a:ln>
              <a:effectLst/>
            </c:spPr>
            <c:extLst>
              <c:ext xmlns:c16="http://schemas.microsoft.com/office/drawing/2014/chart" uri="{C3380CC4-5D6E-409C-BE32-E72D297353CC}">
                <c16:uniqueId val="{00000007-A6C5-492E-BF32-17AF177D4A51}"/>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A6C5-492E-BF32-17AF177D4A51}"/>
              </c:ext>
            </c:extLst>
          </c:dPt>
          <c:dPt>
            <c:idx val="5"/>
            <c:invertIfNegative val="0"/>
            <c:bubble3D val="0"/>
            <c:spPr>
              <a:solidFill>
                <a:srgbClr val="00FFFF"/>
              </a:solidFill>
              <a:ln>
                <a:noFill/>
              </a:ln>
              <a:effectLst/>
            </c:spPr>
            <c:extLst>
              <c:ext xmlns:c16="http://schemas.microsoft.com/office/drawing/2014/chart" uri="{C3380CC4-5D6E-409C-BE32-E72D297353CC}">
                <c16:uniqueId val="{0000000B-A6C5-492E-BF32-17AF177D4A51}"/>
              </c:ext>
            </c:extLst>
          </c:dPt>
          <c:dPt>
            <c:idx val="6"/>
            <c:invertIfNegative val="0"/>
            <c:bubble3D val="0"/>
            <c:spPr>
              <a:solidFill>
                <a:srgbClr val="008080"/>
              </a:solidFill>
              <a:ln>
                <a:noFill/>
              </a:ln>
              <a:effectLst/>
            </c:spPr>
            <c:extLst>
              <c:ext xmlns:c16="http://schemas.microsoft.com/office/drawing/2014/chart" uri="{C3380CC4-5D6E-409C-BE32-E72D297353CC}">
                <c16:uniqueId val="{0000000D-A6C5-492E-BF32-17AF177D4A51}"/>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6 (2)'!$E$11:$E$18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6 (2)'!$F$11:$F$18</c:f>
              <c:numCache>
                <c:formatCode>#,##0.00</c:formatCode>
                <c:ptCount val="8"/>
                <c:pt idx="0">
                  <c:v>57.404000000000003</c:v>
                </c:pt>
                <c:pt idx="1">
                  <c:v>53.244999999999997</c:v>
                </c:pt>
                <c:pt idx="2">
                  <c:v>56.360999999999997</c:v>
                </c:pt>
                <c:pt idx="3">
                  <c:v>73.992000000000004</c:v>
                </c:pt>
                <c:pt idx="4">
                  <c:v>67.668533999999994</c:v>
                </c:pt>
                <c:pt idx="5">
                  <c:v>128.13227429</c:v>
                </c:pt>
                <c:pt idx="6">
                  <c:v>538.27695600000004</c:v>
                </c:pt>
                <c:pt idx="7">
                  <c:v>165.98123699999999</c:v>
                </c:pt>
              </c:numCache>
            </c:numRef>
          </c:val>
          <c:extLst>
            <c:ext xmlns:c16="http://schemas.microsoft.com/office/drawing/2014/chart" uri="{C3380CC4-5D6E-409C-BE32-E72D297353CC}">
              <c16:uniqueId val="{0000000E-A6C5-492E-BF32-17AF177D4A51}"/>
            </c:ext>
          </c:extLst>
        </c:ser>
        <c:dLbls>
          <c:dLblPos val="outEnd"/>
          <c:showLegendKey val="0"/>
          <c:showVal val="1"/>
          <c:showCatName val="0"/>
          <c:showSerName val="0"/>
          <c:showPercent val="0"/>
          <c:showBubbleSize val="0"/>
        </c:dLbls>
        <c:gapWidth val="219"/>
        <c:overlap val="-27"/>
        <c:axId val="310457888"/>
        <c:axId val="313579352"/>
      </c:barChart>
      <c:catAx>
        <c:axId val="310457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3579352"/>
        <c:crosses val="autoZero"/>
        <c:auto val="1"/>
        <c:lblAlgn val="ctr"/>
        <c:lblOffset val="100"/>
        <c:noMultiLvlLbl val="0"/>
      </c:catAx>
      <c:valAx>
        <c:axId val="3135793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457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rgbClr val="00B0F0"/>
                </a:solidFill>
                <a:latin typeface="+mn-lt"/>
                <a:ea typeface="+mn-ea"/>
                <a:cs typeface="+mn-cs"/>
              </a:defRPr>
            </a:pPr>
            <a:r>
              <a:rPr lang="es-CO" sz="1600" b="1" i="0" u="none" strike="noStrike" baseline="0">
                <a:effectLst/>
              </a:rPr>
              <a:t>Inversión acumulada </a:t>
            </a:r>
            <a:r>
              <a:rPr lang="es-CO" sz="1600" b="1">
                <a:solidFill>
                  <a:srgbClr val="00B0F0"/>
                </a:solidFill>
              </a:rPr>
              <a:t>Pilar 6</a:t>
            </a:r>
          </a:p>
          <a:p>
            <a:pPr>
              <a:defRPr sz="1600" b="1">
                <a:solidFill>
                  <a:srgbClr val="00B0F0"/>
                </a:solidFill>
              </a:defRPr>
            </a:pPr>
            <a:r>
              <a:rPr lang="es-CO" sz="1600" b="1">
                <a:solidFill>
                  <a:srgbClr val="00B0F0"/>
                </a:solidFill>
              </a:rPr>
              <a:t>Gestión</a:t>
            </a:r>
            <a:r>
              <a:rPr lang="es-CO" sz="1600" b="1" baseline="0">
                <a:solidFill>
                  <a:srgbClr val="00B0F0"/>
                </a:solidFill>
              </a:rPr>
              <a:t> y Desarrollo Institucional</a:t>
            </a:r>
            <a:endParaRPr lang="es-CO" sz="1600" b="1">
              <a:solidFill>
                <a:srgbClr val="00B0F0"/>
              </a:solidFill>
            </a:endParaRPr>
          </a:p>
        </c:rich>
      </c:tx>
      <c:overlay val="0"/>
      <c:spPr>
        <a:noFill/>
        <a:ln>
          <a:noFill/>
        </a:ln>
        <a:effectLst/>
      </c:spPr>
      <c:txPr>
        <a:bodyPr rot="0" spcFirstLastPara="1" vertOverflow="ellipsis" vert="horz" wrap="square" anchor="ctr" anchorCtr="1"/>
        <a:lstStyle/>
        <a:p>
          <a:pPr>
            <a:defRPr sz="1600" b="1" i="0" u="none" strike="noStrike" kern="1200" spc="0" baseline="0">
              <a:solidFill>
                <a:srgbClr val="00B0F0"/>
              </a:solidFill>
              <a:latin typeface="+mn-lt"/>
              <a:ea typeface="+mn-ea"/>
              <a:cs typeface="+mn-cs"/>
            </a:defRPr>
          </a:pPr>
          <a:endParaRPr lang="es-CO"/>
        </a:p>
      </c:txPr>
    </c:title>
    <c:autoTitleDeleted val="0"/>
    <c:plotArea>
      <c:layout>
        <c:manualLayout>
          <c:layoutTarget val="inner"/>
          <c:xMode val="edge"/>
          <c:yMode val="edge"/>
          <c:x val="0.12978937007874017"/>
          <c:y val="0.33269219267774047"/>
          <c:w val="0.8396550743657043"/>
          <c:h val="0.59102907088285039"/>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45F3-45C9-864C-3B41C12F4A2E}"/>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45F3-45C9-864C-3B41C12F4A2E}"/>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45F3-45C9-864C-3B41C12F4A2E}"/>
              </c:ext>
            </c:extLst>
          </c:dPt>
          <c:dPt>
            <c:idx val="3"/>
            <c:invertIfNegative val="0"/>
            <c:bubble3D val="0"/>
            <c:spPr>
              <a:solidFill>
                <a:srgbClr val="7030A0"/>
              </a:solidFill>
              <a:ln>
                <a:noFill/>
              </a:ln>
              <a:effectLst/>
            </c:spPr>
            <c:extLst>
              <c:ext xmlns:c16="http://schemas.microsoft.com/office/drawing/2014/chart" uri="{C3380CC4-5D6E-409C-BE32-E72D297353CC}">
                <c16:uniqueId val="{00000007-45F3-45C9-864C-3B41C12F4A2E}"/>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45F3-45C9-864C-3B41C12F4A2E}"/>
              </c:ext>
            </c:extLst>
          </c:dPt>
          <c:dPt>
            <c:idx val="5"/>
            <c:invertIfNegative val="0"/>
            <c:bubble3D val="0"/>
            <c:spPr>
              <a:solidFill>
                <a:srgbClr val="00FFFF"/>
              </a:solidFill>
              <a:ln>
                <a:noFill/>
              </a:ln>
              <a:effectLst/>
            </c:spPr>
            <c:extLst>
              <c:ext xmlns:c16="http://schemas.microsoft.com/office/drawing/2014/chart" uri="{C3380CC4-5D6E-409C-BE32-E72D297353CC}">
                <c16:uniqueId val="{0000000B-45F3-45C9-864C-3B41C12F4A2E}"/>
              </c:ext>
            </c:extLst>
          </c:dPt>
          <c:dPt>
            <c:idx val="6"/>
            <c:invertIfNegative val="0"/>
            <c:bubble3D val="0"/>
            <c:spPr>
              <a:solidFill>
                <a:srgbClr val="008080"/>
              </a:solidFill>
              <a:ln>
                <a:noFill/>
              </a:ln>
              <a:effectLst/>
            </c:spPr>
            <c:extLst>
              <c:ext xmlns:c16="http://schemas.microsoft.com/office/drawing/2014/chart" uri="{C3380CC4-5D6E-409C-BE32-E72D297353CC}">
                <c16:uniqueId val="{0000000D-45F3-45C9-864C-3B41C12F4A2E}"/>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6'!$E$11:$E$18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6'!$F$11:$F$18</c:f>
              <c:numCache>
                <c:formatCode>#,##0.00</c:formatCode>
                <c:ptCount val="8"/>
                <c:pt idx="0">
                  <c:v>57.404000000000003</c:v>
                </c:pt>
                <c:pt idx="1">
                  <c:v>110.649</c:v>
                </c:pt>
                <c:pt idx="2">
                  <c:v>167.01</c:v>
                </c:pt>
                <c:pt idx="3">
                  <c:v>241.00200000000001</c:v>
                </c:pt>
                <c:pt idx="4">
                  <c:v>308.67053399999998</c:v>
                </c:pt>
                <c:pt idx="5">
                  <c:v>436.80280828999997</c:v>
                </c:pt>
                <c:pt idx="6">
                  <c:v>975.07976428999996</c:v>
                </c:pt>
                <c:pt idx="7">
                  <c:v>1141.0610012899999</c:v>
                </c:pt>
              </c:numCache>
            </c:numRef>
          </c:val>
          <c:extLst>
            <c:ext xmlns:c16="http://schemas.microsoft.com/office/drawing/2014/chart" uri="{C3380CC4-5D6E-409C-BE32-E72D297353CC}">
              <c16:uniqueId val="{0000000E-45F3-45C9-864C-3B41C12F4A2E}"/>
            </c:ext>
          </c:extLst>
        </c:ser>
        <c:dLbls>
          <c:dLblPos val="outEnd"/>
          <c:showLegendKey val="0"/>
          <c:showVal val="1"/>
          <c:showCatName val="0"/>
          <c:showSerName val="0"/>
          <c:showPercent val="0"/>
          <c:showBubbleSize val="0"/>
        </c:dLbls>
        <c:gapWidth val="219"/>
        <c:overlap val="-27"/>
        <c:axId val="313574256"/>
        <c:axId val="313577392"/>
      </c:barChart>
      <c:catAx>
        <c:axId val="313574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3577392"/>
        <c:crosses val="autoZero"/>
        <c:auto val="1"/>
        <c:lblAlgn val="ctr"/>
        <c:lblOffset val="100"/>
        <c:noMultiLvlLbl val="0"/>
      </c:catAx>
      <c:valAx>
        <c:axId val="3135773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3574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rgbClr val="008080"/>
                </a:solidFill>
                <a:latin typeface="+mn-lt"/>
                <a:ea typeface="+mn-ea"/>
                <a:cs typeface="+mn-cs"/>
              </a:defRPr>
            </a:pPr>
            <a:r>
              <a:rPr lang="es-CO" sz="1600" b="1" i="0" u="none" strike="noStrike" baseline="0">
                <a:effectLst/>
              </a:rPr>
              <a:t>Inversión Anual </a:t>
            </a:r>
            <a:r>
              <a:rPr lang="es-CO" sz="1600" b="1">
                <a:solidFill>
                  <a:srgbClr val="008080"/>
                </a:solidFill>
              </a:rPr>
              <a:t>Pilar 7</a:t>
            </a:r>
          </a:p>
          <a:p>
            <a:pPr>
              <a:defRPr sz="1600" b="1">
                <a:solidFill>
                  <a:srgbClr val="008080"/>
                </a:solidFill>
              </a:defRPr>
            </a:pPr>
            <a:r>
              <a:rPr lang="es-CO" sz="1600" b="1">
                <a:solidFill>
                  <a:srgbClr val="008080"/>
                </a:solidFill>
              </a:rPr>
              <a:t>Desarrollo Tecnológico</a:t>
            </a:r>
          </a:p>
        </c:rich>
      </c:tx>
      <c:layout>
        <c:manualLayout>
          <c:xMode val="edge"/>
          <c:yMode val="edge"/>
          <c:x val="0.30436499956169527"/>
          <c:y val="1.747304663840097E-2"/>
        </c:manualLayout>
      </c:layout>
      <c:overlay val="0"/>
      <c:spPr>
        <a:noFill/>
        <a:ln>
          <a:noFill/>
        </a:ln>
        <a:effectLst/>
      </c:spPr>
      <c:txPr>
        <a:bodyPr rot="0" spcFirstLastPara="1" vertOverflow="ellipsis" vert="horz" wrap="square" anchor="ctr" anchorCtr="1"/>
        <a:lstStyle/>
        <a:p>
          <a:pPr>
            <a:defRPr sz="1600" b="1" i="0" u="none" strike="noStrike" kern="1200" spc="0" baseline="0">
              <a:solidFill>
                <a:srgbClr val="008080"/>
              </a:solidFill>
              <a:latin typeface="+mn-lt"/>
              <a:ea typeface="+mn-ea"/>
              <a:cs typeface="+mn-cs"/>
            </a:defRPr>
          </a:pPr>
          <a:endParaRPr lang="es-CO"/>
        </a:p>
      </c:txPr>
    </c:title>
    <c:autoTitleDeleted val="0"/>
    <c:plotArea>
      <c:layout>
        <c:manualLayout>
          <c:layoutTarget val="inner"/>
          <c:xMode val="edge"/>
          <c:yMode val="edge"/>
          <c:x val="0.12978937007874017"/>
          <c:y val="0.21384364558886965"/>
          <c:w val="0.8396550743657043"/>
          <c:h val="0.70987768590207556"/>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7D76-4EFD-A536-9D5A1DC0933A}"/>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7D76-4EFD-A536-9D5A1DC0933A}"/>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7D76-4EFD-A536-9D5A1DC0933A}"/>
              </c:ext>
            </c:extLst>
          </c:dPt>
          <c:dPt>
            <c:idx val="3"/>
            <c:invertIfNegative val="0"/>
            <c:bubble3D val="0"/>
            <c:spPr>
              <a:solidFill>
                <a:srgbClr val="7030A0"/>
              </a:solidFill>
              <a:ln>
                <a:noFill/>
              </a:ln>
              <a:effectLst/>
            </c:spPr>
            <c:extLst>
              <c:ext xmlns:c16="http://schemas.microsoft.com/office/drawing/2014/chart" uri="{C3380CC4-5D6E-409C-BE32-E72D297353CC}">
                <c16:uniqueId val="{00000007-7D76-4EFD-A536-9D5A1DC0933A}"/>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7D76-4EFD-A536-9D5A1DC0933A}"/>
              </c:ext>
            </c:extLst>
          </c:dPt>
          <c:dPt>
            <c:idx val="5"/>
            <c:invertIfNegative val="0"/>
            <c:bubble3D val="0"/>
            <c:spPr>
              <a:solidFill>
                <a:srgbClr val="00FFFF"/>
              </a:solidFill>
              <a:ln>
                <a:noFill/>
              </a:ln>
              <a:effectLst/>
            </c:spPr>
            <c:extLst>
              <c:ext xmlns:c16="http://schemas.microsoft.com/office/drawing/2014/chart" uri="{C3380CC4-5D6E-409C-BE32-E72D297353CC}">
                <c16:uniqueId val="{0000000B-7D76-4EFD-A536-9D5A1DC0933A}"/>
              </c:ext>
            </c:extLst>
          </c:dPt>
          <c:dPt>
            <c:idx val="6"/>
            <c:invertIfNegative val="0"/>
            <c:bubble3D val="0"/>
            <c:spPr>
              <a:solidFill>
                <a:srgbClr val="008080"/>
              </a:solidFill>
              <a:ln>
                <a:noFill/>
              </a:ln>
              <a:effectLst/>
            </c:spPr>
            <c:extLst>
              <c:ext xmlns:c16="http://schemas.microsoft.com/office/drawing/2014/chart" uri="{C3380CC4-5D6E-409C-BE32-E72D297353CC}">
                <c16:uniqueId val="{0000000D-7D76-4EFD-A536-9D5A1DC0933A}"/>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7 (2)'!$E$11:$E$18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7 (2)'!$F$11:$F$18</c:f>
              <c:numCache>
                <c:formatCode>#,##0.00</c:formatCode>
                <c:ptCount val="8"/>
                <c:pt idx="0">
                  <c:v>379.012</c:v>
                </c:pt>
                <c:pt idx="1">
                  <c:v>285.30799999999999</c:v>
                </c:pt>
                <c:pt idx="2">
                  <c:v>518.12699999999995</c:v>
                </c:pt>
                <c:pt idx="3">
                  <c:v>966.47900000000004</c:v>
                </c:pt>
                <c:pt idx="4">
                  <c:v>1336.2535539999999</c:v>
                </c:pt>
                <c:pt idx="5">
                  <c:v>1538.3293004500001</c:v>
                </c:pt>
                <c:pt idx="6">
                  <c:v>1513.0389940699999</c:v>
                </c:pt>
                <c:pt idx="7">
                  <c:v>888.53372363999995</c:v>
                </c:pt>
              </c:numCache>
            </c:numRef>
          </c:val>
          <c:extLst>
            <c:ext xmlns:c16="http://schemas.microsoft.com/office/drawing/2014/chart" uri="{C3380CC4-5D6E-409C-BE32-E72D297353CC}">
              <c16:uniqueId val="{0000000E-7D76-4EFD-A536-9D5A1DC0933A}"/>
            </c:ext>
          </c:extLst>
        </c:ser>
        <c:dLbls>
          <c:dLblPos val="outEnd"/>
          <c:showLegendKey val="0"/>
          <c:showVal val="1"/>
          <c:showCatName val="0"/>
          <c:showSerName val="0"/>
          <c:showPercent val="0"/>
          <c:showBubbleSize val="0"/>
        </c:dLbls>
        <c:gapWidth val="219"/>
        <c:overlap val="-27"/>
        <c:axId val="369559624"/>
        <c:axId val="369560016"/>
      </c:barChart>
      <c:catAx>
        <c:axId val="369559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69560016"/>
        <c:crosses val="autoZero"/>
        <c:auto val="1"/>
        <c:lblAlgn val="ctr"/>
        <c:lblOffset val="100"/>
        <c:noMultiLvlLbl val="0"/>
      </c:catAx>
      <c:valAx>
        <c:axId val="3695600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69559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rgbClr val="008080"/>
                </a:solidFill>
                <a:latin typeface="+mn-lt"/>
                <a:ea typeface="+mn-ea"/>
                <a:cs typeface="+mn-cs"/>
              </a:defRPr>
            </a:pPr>
            <a:r>
              <a:rPr lang="es-CO" sz="1600" b="1" i="0" u="none" strike="noStrike" baseline="0">
                <a:effectLst/>
              </a:rPr>
              <a:t>Inversión Acumulada </a:t>
            </a:r>
            <a:r>
              <a:rPr lang="es-CO" sz="1600" b="1">
                <a:solidFill>
                  <a:srgbClr val="008080"/>
                </a:solidFill>
              </a:rPr>
              <a:t>Pilar 7</a:t>
            </a:r>
          </a:p>
          <a:p>
            <a:pPr>
              <a:defRPr sz="1600" b="1">
                <a:solidFill>
                  <a:srgbClr val="008080"/>
                </a:solidFill>
              </a:defRPr>
            </a:pPr>
            <a:r>
              <a:rPr lang="es-CO" sz="1600" b="1">
                <a:solidFill>
                  <a:srgbClr val="008080"/>
                </a:solidFill>
              </a:rPr>
              <a:t>Desarrollo Tecnológico</a:t>
            </a:r>
          </a:p>
        </c:rich>
      </c:tx>
      <c:overlay val="0"/>
      <c:spPr>
        <a:noFill/>
        <a:ln>
          <a:noFill/>
        </a:ln>
        <a:effectLst/>
      </c:spPr>
      <c:txPr>
        <a:bodyPr rot="0" spcFirstLastPara="1" vertOverflow="ellipsis" vert="horz" wrap="square" anchor="ctr" anchorCtr="1"/>
        <a:lstStyle/>
        <a:p>
          <a:pPr>
            <a:defRPr sz="1600" b="1" i="0" u="none" strike="noStrike" kern="1200" spc="0" baseline="0">
              <a:solidFill>
                <a:srgbClr val="008080"/>
              </a:solidFill>
              <a:latin typeface="+mn-lt"/>
              <a:ea typeface="+mn-ea"/>
              <a:cs typeface="+mn-cs"/>
            </a:defRPr>
          </a:pPr>
          <a:endParaRPr lang="es-CO"/>
        </a:p>
      </c:txPr>
    </c:title>
    <c:autoTitleDeleted val="0"/>
    <c:plotArea>
      <c:layout>
        <c:manualLayout>
          <c:layoutTarget val="inner"/>
          <c:xMode val="edge"/>
          <c:yMode val="edge"/>
          <c:x val="0.12978937007874017"/>
          <c:y val="0.2411498413444588"/>
          <c:w val="0.8396550743657043"/>
          <c:h val="0.68257139499353625"/>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1B77-4C3D-B203-4B446145BB08}"/>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1B77-4C3D-B203-4B446145BB08}"/>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1B77-4C3D-B203-4B446145BB08}"/>
              </c:ext>
            </c:extLst>
          </c:dPt>
          <c:dPt>
            <c:idx val="3"/>
            <c:invertIfNegative val="0"/>
            <c:bubble3D val="0"/>
            <c:spPr>
              <a:solidFill>
                <a:srgbClr val="7030A0"/>
              </a:solidFill>
              <a:ln>
                <a:noFill/>
              </a:ln>
              <a:effectLst/>
            </c:spPr>
            <c:extLst>
              <c:ext xmlns:c16="http://schemas.microsoft.com/office/drawing/2014/chart" uri="{C3380CC4-5D6E-409C-BE32-E72D297353CC}">
                <c16:uniqueId val="{00000007-1B77-4C3D-B203-4B446145BB08}"/>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1B77-4C3D-B203-4B446145BB08}"/>
              </c:ext>
            </c:extLst>
          </c:dPt>
          <c:dPt>
            <c:idx val="5"/>
            <c:invertIfNegative val="0"/>
            <c:bubble3D val="0"/>
            <c:spPr>
              <a:solidFill>
                <a:srgbClr val="00FFFF"/>
              </a:solidFill>
              <a:ln>
                <a:noFill/>
              </a:ln>
              <a:effectLst/>
            </c:spPr>
            <c:extLst>
              <c:ext xmlns:c16="http://schemas.microsoft.com/office/drawing/2014/chart" uri="{C3380CC4-5D6E-409C-BE32-E72D297353CC}">
                <c16:uniqueId val="{0000000B-1B77-4C3D-B203-4B446145BB08}"/>
              </c:ext>
            </c:extLst>
          </c:dPt>
          <c:dPt>
            <c:idx val="6"/>
            <c:invertIfNegative val="0"/>
            <c:bubble3D val="0"/>
            <c:spPr>
              <a:solidFill>
                <a:srgbClr val="008080"/>
              </a:solidFill>
              <a:ln>
                <a:noFill/>
              </a:ln>
              <a:effectLst/>
            </c:spPr>
            <c:extLst>
              <c:ext xmlns:c16="http://schemas.microsoft.com/office/drawing/2014/chart" uri="{C3380CC4-5D6E-409C-BE32-E72D297353CC}">
                <c16:uniqueId val="{0000000D-1B77-4C3D-B203-4B446145BB08}"/>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7'!$E$11:$E$18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7'!$F$11:$F$18</c:f>
              <c:numCache>
                <c:formatCode>#,##0.00</c:formatCode>
                <c:ptCount val="8"/>
                <c:pt idx="0">
                  <c:v>379.012</c:v>
                </c:pt>
                <c:pt idx="1">
                  <c:v>664.31999999999994</c:v>
                </c:pt>
                <c:pt idx="2">
                  <c:v>1182.4469999999999</c:v>
                </c:pt>
                <c:pt idx="3">
                  <c:v>2148.9259999999999</c:v>
                </c:pt>
                <c:pt idx="4">
                  <c:v>3485.1795539999998</c:v>
                </c:pt>
                <c:pt idx="5">
                  <c:v>5023.5088544499995</c:v>
                </c:pt>
                <c:pt idx="6">
                  <c:v>6536.5478485199992</c:v>
                </c:pt>
                <c:pt idx="7">
                  <c:v>7425.0815721599993</c:v>
                </c:pt>
              </c:numCache>
            </c:numRef>
          </c:val>
          <c:extLst>
            <c:ext xmlns:c16="http://schemas.microsoft.com/office/drawing/2014/chart" uri="{C3380CC4-5D6E-409C-BE32-E72D297353CC}">
              <c16:uniqueId val="{0000000E-1B77-4C3D-B203-4B446145BB08}"/>
            </c:ext>
          </c:extLst>
        </c:ser>
        <c:dLbls>
          <c:dLblPos val="outEnd"/>
          <c:showLegendKey val="0"/>
          <c:showVal val="1"/>
          <c:showCatName val="0"/>
          <c:showSerName val="0"/>
          <c:showPercent val="0"/>
          <c:showBubbleSize val="0"/>
        </c:dLbls>
        <c:gapWidth val="219"/>
        <c:overlap val="-27"/>
        <c:axId val="254641312"/>
        <c:axId val="410540480"/>
      </c:barChart>
      <c:catAx>
        <c:axId val="254641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10540480"/>
        <c:crosses val="autoZero"/>
        <c:auto val="1"/>
        <c:lblAlgn val="ctr"/>
        <c:lblOffset val="100"/>
        <c:noMultiLvlLbl val="0"/>
      </c:catAx>
      <c:valAx>
        <c:axId val="4105404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54641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rgbClr val="663300"/>
                </a:solidFill>
                <a:latin typeface="+mn-lt"/>
                <a:ea typeface="+mn-ea"/>
                <a:cs typeface="+mn-cs"/>
              </a:defRPr>
            </a:pPr>
            <a:r>
              <a:rPr lang="es-CO" sz="1600" b="1" i="0" u="none" strike="noStrike" baseline="0">
                <a:effectLst/>
              </a:rPr>
              <a:t>Inversión Anual </a:t>
            </a:r>
            <a:r>
              <a:rPr lang="es-CO" sz="1600" b="1">
                <a:solidFill>
                  <a:srgbClr val="663300"/>
                </a:solidFill>
              </a:rPr>
              <a:t>Pilar 8</a:t>
            </a:r>
          </a:p>
          <a:p>
            <a:pPr>
              <a:defRPr sz="1600" b="1">
                <a:solidFill>
                  <a:srgbClr val="663300"/>
                </a:solidFill>
              </a:defRPr>
            </a:pPr>
            <a:r>
              <a:rPr lang="es-CO" sz="1600" b="1">
                <a:solidFill>
                  <a:srgbClr val="663300"/>
                </a:solidFill>
              </a:rPr>
              <a:t>Infraestructura Física y Dotación</a:t>
            </a:r>
          </a:p>
        </c:rich>
      </c:tx>
      <c:layout>
        <c:manualLayout>
          <c:xMode val="edge"/>
          <c:yMode val="edge"/>
          <c:x val="0.23804244793141865"/>
          <c:y val="2.7700078030786692E-2"/>
        </c:manualLayout>
      </c:layout>
      <c:overlay val="0"/>
      <c:spPr>
        <a:noFill/>
        <a:ln>
          <a:noFill/>
        </a:ln>
        <a:effectLst/>
      </c:spPr>
      <c:txPr>
        <a:bodyPr rot="0" spcFirstLastPara="1" vertOverflow="ellipsis" vert="horz" wrap="square" anchor="ctr" anchorCtr="1"/>
        <a:lstStyle/>
        <a:p>
          <a:pPr>
            <a:defRPr sz="1600" b="1" i="0" u="none" strike="noStrike" kern="1200" spc="0" baseline="0">
              <a:solidFill>
                <a:srgbClr val="663300"/>
              </a:solidFill>
              <a:latin typeface="+mn-lt"/>
              <a:ea typeface="+mn-ea"/>
              <a:cs typeface="+mn-cs"/>
            </a:defRPr>
          </a:pPr>
          <a:endParaRPr lang="es-CO"/>
        </a:p>
      </c:txPr>
    </c:title>
    <c:autoTitleDeleted val="0"/>
    <c:plotArea>
      <c:layout>
        <c:manualLayout>
          <c:layoutTarget val="inner"/>
          <c:xMode val="edge"/>
          <c:yMode val="edge"/>
          <c:x val="0.12978937007874017"/>
          <c:y val="0.20269589274313679"/>
          <c:w val="0.8396550743657043"/>
          <c:h val="0.72102546641129328"/>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7D34-4FDB-A3F9-8D2FA381C1F6}"/>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7D34-4FDB-A3F9-8D2FA381C1F6}"/>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7D34-4FDB-A3F9-8D2FA381C1F6}"/>
              </c:ext>
            </c:extLst>
          </c:dPt>
          <c:dPt>
            <c:idx val="3"/>
            <c:invertIfNegative val="0"/>
            <c:bubble3D val="0"/>
            <c:spPr>
              <a:solidFill>
                <a:srgbClr val="7030A0"/>
              </a:solidFill>
              <a:ln>
                <a:noFill/>
              </a:ln>
              <a:effectLst/>
            </c:spPr>
            <c:extLst>
              <c:ext xmlns:c16="http://schemas.microsoft.com/office/drawing/2014/chart" uri="{C3380CC4-5D6E-409C-BE32-E72D297353CC}">
                <c16:uniqueId val="{00000007-7D34-4FDB-A3F9-8D2FA381C1F6}"/>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7D34-4FDB-A3F9-8D2FA381C1F6}"/>
              </c:ext>
            </c:extLst>
          </c:dPt>
          <c:dPt>
            <c:idx val="5"/>
            <c:invertIfNegative val="0"/>
            <c:bubble3D val="0"/>
            <c:spPr>
              <a:solidFill>
                <a:srgbClr val="00FFFF"/>
              </a:solidFill>
              <a:ln>
                <a:noFill/>
              </a:ln>
              <a:effectLst/>
            </c:spPr>
            <c:extLst>
              <c:ext xmlns:c16="http://schemas.microsoft.com/office/drawing/2014/chart" uri="{C3380CC4-5D6E-409C-BE32-E72D297353CC}">
                <c16:uniqueId val="{0000000B-7D34-4FDB-A3F9-8D2FA381C1F6}"/>
              </c:ext>
            </c:extLst>
          </c:dPt>
          <c:dPt>
            <c:idx val="6"/>
            <c:invertIfNegative val="0"/>
            <c:bubble3D val="0"/>
            <c:spPr>
              <a:solidFill>
                <a:srgbClr val="008080"/>
              </a:solidFill>
              <a:ln>
                <a:noFill/>
              </a:ln>
              <a:effectLst/>
            </c:spPr>
            <c:extLst>
              <c:ext xmlns:c16="http://schemas.microsoft.com/office/drawing/2014/chart" uri="{C3380CC4-5D6E-409C-BE32-E72D297353CC}">
                <c16:uniqueId val="{0000000D-7D34-4FDB-A3F9-8D2FA381C1F6}"/>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8 (2)'!$E$11:$E$18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8 (2)'!$F$11:$F$18</c:f>
              <c:numCache>
                <c:formatCode>#,##0.00</c:formatCode>
                <c:ptCount val="8"/>
                <c:pt idx="0">
                  <c:v>189.49600000000001</c:v>
                </c:pt>
                <c:pt idx="1">
                  <c:v>354.81400000000002</c:v>
                </c:pt>
                <c:pt idx="2">
                  <c:v>1187.7449999999999</c:v>
                </c:pt>
                <c:pt idx="3">
                  <c:v>832.96500000000003</c:v>
                </c:pt>
                <c:pt idx="4">
                  <c:v>2962.9378879999999</c:v>
                </c:pt>
                <c:pt idx="5">
                  <c:v>8759.6723147700013</c:v>
                </c:pt>
                <c:pt idx="6">
                  <c:v>4795.7573193999997</c:v>
                </c:pt>
                <c:pt idx="7">
                  <c:v>6624.3739154099994</c:v>
                </c:pt>
              </c:numCache>
            </c:numRef>
          </c:val>
          <c:extLst>
            <c:ext xmlns:c16="http://schemas.microsoft.com/office/drawing/2014/chart" uri="{C3380CC4-5D6E-409C-BE32-E72D297353CC}">
              <c16:uniqueId val="{0000000E-7D34-4FDB-A3F9-8D2FA381C1F6}"/>
            </c:ext>
          </c:extLst>
        </c:ser>
        <c:dLbls>
          <c:dLblPos val="outEnd"/>
          <c:showLegendKey val="0"/>
          <c:showVal val="1"/>
          <c:showCatName val="0"/>
          <c:showSerName val="0"/>
          <c:showPercent val="0"/>
          <c:showBubbleSize val="0"/>
        </c:dLbls>
        <c:gapWidth val="219"/>
        <c:overlap val="-27"/>
        <c:axId val="447791984"/>
        <c:axId val="447790024"/>
      </c:barChart>
      <c:catAx>
        <c:axId val="447791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47790024"/>
        <c:crosses val="autoZero"/>
        <c:auto val="1"/>
        <c:lblAlgn val="ctr"/>
        <c:lblOffset val="100"/>
        <c:noMultiLvlLbl val="0"/>
      </c:catAx>
      <c:valAx>
        <c:axId val="4477900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47791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rgbClr val="663300"/>
                </a:solidFill>
                <a:latin typeface="+mn-lt"/>
                <a:ea typeface="+mn-ea"/>
                <a:cs typeface="+mn-cs"/>
              </a:defRPr>
            </a:pPr>
            <a:r>
              <a:rPr lang="es-CO" sz="1600" b="1" i="0" u="none" strike="noStrike" baseline="0">
                <a:effectLst/>
              </a:rPr>
              <a:t>Inversión acumulada </a:t>
            </a:r>
            <a:r>
              <a:rPr lang="es-CO" sz="1600" b="1">
                <a:solidFill>
                  <a:srgbClr val="663300"/>
                </a:solidFill>
              </a:rPr>
              <a:t>Pilar 8</a:t>
            </a:r>
          </a:p>
          <a:p>
            <a:pPr>
              <a:defRPr sz="1600" b="1">
                <a:solidFill>
                  <a:srgbClr val="663300"/>
                </a:solidFill>
              </a:defRPr>
            </a:pPr>
            <a:r>
              <a:rPr lang="es-CO" sz="1600" b="1">
                <a:solidFill>
                  <a:srgbClr val="663300"/>
                </a:solidFill>
              </a:rPr>
              <a:t>Infraestructura Física y Dotación</a:t>
            </a:r>
          </a:p>
        </c:rich>
      </c:tx>
      <c:overlay val="0"/>
      <c:spPr>
        <a:noFill/>
        <a:ln>
          <a:noFill/>
        </a:ln>
        <a:effectLst/>
      </c:spPr>
      <c:txPr>
        <a:bodyPr rot="0" spcFirstLastPara="1" vertOverflow="ellipsis" vert="horz" wrap="square" anchor="ctr" anchorCtr="1"/>
        <a:lstStyle/>
        <a:p>
          <a:pPr>
            <a:defRPr sz="1600" b="1" i="0" u="none" strike="noStrike" kern="1200" spc="0" baseline="0">
              <a:solidFill>
                <a:srgbClr val="663300"/>
              </a:solidFill>
              <a:latin typeface="+mn-lt"/>
              <a:ea typeface="+mn-ea"/>
              <a:cs typeface="+mn-cs"/>
            </a:defRPr>
          </a:pPr>
          <a:endParaRPr lang="es-CO"/>
        </a:p>
      </c:txPr>
    </c:title>
    <c:autoTitleDeleted val="0"/>
    <c:plotArea>
      <c:layout>
        <c:manualLayout>
          <c:layoutTarget val="inner"/>
          <c:xMode val="edge"/>
          <c:yMode val="edge"/>
          <c:x val="0.12978937007874017"/>
          <c:y val="0.26035350678220487"/>
          <c:w val="0.8396550743657043"/>
          <c:h val="0.663367756778386"/>
        </c:manualLayout>
      </c:layout>
      <c:barChart>
        <c:barDir val="col"/>
        <c:grouping val="clustered"/>
        <c:varyColors val="0"/>
        <c:ser>
          <c:idx val="1"/>
          <c:order val="0"/>
          <c:spPr>
            <a:solidFill>
              <a:schemeClr val="accent2"/>
            </a:solidFill>
            <a:ln>
              <a:noFill/>
            </a:ln>
            <a:effectLst/>
          </c:spPr>
          <c:invertIfNegative val="0"/>
          <c:dPt>
            <c:idx val="0"/>
            <c:invertIfNegative val="0"/>
            <c:bubble3D val="0"/>
            <c:spPr>
              <a:solidFill>
                <a:schemeClr val="accent5"/>
              </a:solidFill>
              <a:ln>
                <a:noFill/>
              </a:ln>
              <a:effectLst/>
            </c:spPr>
            <c:extLst>
              <c:ext xmlns:c16="http://schemas.microsoft.com/office/drawing/2014/chart" uri="{C3380CC4-5D6E-409C-BE32-E72D297353CC}">
                <c16:uniqueId val="{00000001-B37D-45B5-BCAA-13F6EDF22BB2}"/>
              </c:ext>
            </c:extLst>
          </c:dPt>
          <c:dPt>
            <c:idx val="1"/>
            <c:invertIfNegative val="0"/>
            <c:bubble3D val="0"/>
            <c:spPr>
              <a:solidFill>
                <a:schemeClr val="accent4">
                  <a:lumMod val="50000"/>
                </a:schemeClr>
              </a:solidFill>
              <a:ln>
                <a:noFill/>
              </a:ln>
              <a:effectLst/>
            </c:spPr>
            <c:extLst>
              <c:ext xmlns:c16="http://schemas.microsoft.com/office/drawing/2014/chart" uri="{C3380CC4-5D6E-409C-BE32-E72D297353CC}">
                <c16:uniqueId val="{00000003-B37D-45B5-BCAA-13F6EDF22BB2}"/>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B37D-45B5-BCAA-13F6EDF22BB2}"/>
              </c:ext>
            </c:extLst>
          </c:dPt>
          <c:dPt>
            <c:idx val="3"/>
            <c:invertIfNegative val="0"/>
            <c:bubble3D val="0"/>
            <c:spPr>
              <a:solidFill>
                <a:srgbClr val="7030A0"/>
              </a:solidFill>
              <a:ln>
                <a:noFill/>
              </a:ln>
              <a:effectLst/>
            </c:spPr>
            <c:extLst>
              <c:ext xmlns:c16="http://schemas.microsoft.com/office/drawing/2014/chart" uri="{C3380CC4-5D6E-409C-BE32-E72D297353CC}">
                <c16:uniqueId val="{00000007-B37D-45B5-BCAA-13F6EDF22BB2}"/>
              </c:ext>
            </c:extLst>
          </c:dPt>
          <c:dPt>
            <c:idx val="4"/>
            <c:invertIfNegative val="0"/>
            <c:bubble3D val="0"/>
            <c:spPr>
              <a:solidFill>
                <a:schemeClr val="accent6">
                  <a:lumMod val="75000"/>
                </a:schemeClr>
              </a:solidFill>
              <a:ln>
                <a:noFill/>
              </a:ln>
              <a:effectLst/>
            </c:spPr>
            <c:extLst>
              <c:ext xmlns:c16="http://schemas.microsoft.com/office/drawing/2014/chart" uri="{C3380CC4-5D6E-409C-BE32-E72D297353CC}">
                <c16:uniqueId val="{00000009-B37D-45B5-BCAA-13F6EDF22BB2}"/>
              </c:ext>
            </c:extLst>
          </c:dPt>
          <c:dPt>
            <c:idx val="5"/>
            <c:invertIfNegative val="0"/>
            <c:bubble3D val="0"/>
            <c:spPr>
              <a:solidFill>
                <a:srgbClr val="00FFFF"/>
              </a:solidFill>
              <a:ln>
                <a:noFill/>
              </a:ln>
              <a:effectLst/>
            </c:spPr>
            <c:extLst>
              <c:ext xmlns:c16="http://schemas.microsoft.com/office/drawing/2014/chart" uri="{C3380CC4-5D6E-409C-BE32-E72D297353CC}">
                <c16:uniqueId val="{0000000B-B37D-45B5-BCAA-13F6EDF22BB2}"/>
              </c:ext>
            </c:extLst>
          </c:dPt>
          <c:dPt>
            <c:idx val="6"/>
            <c:invertIfNegative val="0"/>
            <c:bubble3D val="0"/>
            <c:spPr>
              <a:solidFill>
                <a:srgbClr val="008080"/>
              </a:solidFill>
              <a:ln>
                <a:noFill/>
              </a:ln>
              <a:effectLst/>
            </c:spPr>
            <c:extLst>
              <c:ext xmlns:c16="http://schemas.microsoft.com/office/drawing/2014/chart" uri="{C3380CC4-5D6E-409C-BE32-E72D297353CC}">
                <c16:uniqueId val="{0000000D-B37D-45B5-BCAA-13F6EDF22BB2}"/>
              </c:ext>
            </c:extLst>
          </c:dPt>
          <c:dLbls>
            <c:dLbl>
              <c:idx val="2"/>
              <c:layout>
                <c:manualLayout>
                  <c:x val="-4.8023894034181505E-17"/>
                  <c:y val="-2.713178294573643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37D-45B5-BCAA-13F6EDF22BB2}"/>
                </c:ext>
              </c:extLst>
            </c:dLbl>
            <c:dLbl>
              <c:idx val="3"/>
              <c:layout>
                <c:manualLayout>
                  <c:x val="0"/>
                  <c:y val="-6.58914728682170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37D-45B5-BCAA-13F6EDF22BB2}"/>
                </c:ext>
              </c:extLst>
            </c:dLbl>
            <c:dLbl>
              <c:idx val="4"/>
              <c:layout>
                <c:manualLayout>
                  <c:x val="0"/>
                  <c:y val="-5.426356589147286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37D-45B5-BCAA-13F6EDF22BB2}"/>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'Pilar 8'!$E$11:$E$18</c:f>
              <c:numCache>
                <c:formatCode>General</c:formatCode>
                <c:ptCount val="8"/>
                <c:pt idx="0">
                  <c:v>2008</c:v>
                </c:pt>
                <c:pt idx="1">
                  <c:v>2009</c:v>
                </c:pt>
                <c:pt idx="2">
                  <c:v>2010</c:v>
                </c:pt>
                <c:pt idx="3">
                  <c:v>2011</c:v>
                </c:pt>
                <c:pt idx="4">
                  <c:v>2012</c:v>
                </c:pt>
                <c:pt idx="5">
                  <c:v>2013</c:v>
                </c:pt>
                <c:pt idx="6">
                  <c:v>2014</c:v>
                </c:pt>
                <c:pt idx="7">
                  <c:v>2015</c:v>
                </c:pt>
              </c:numCache>
            </c:numRef>
          </c:cat>
          <c:val>
            <c:numRef>
              <c:f>'Pilar 8'!$F$11:$F$18</c:f>
              <c:numCache>
                <c:formatCode>#,##0.00</c:formatCode>
                <c:ptCount val="8"/>
                <c:pt idx="0">
                  <c:v>189.49600000000001</c:v>
                </c:pt>
                <c:pt idx="1">
                  <c:v>544.31000000000006</c:v>
                </c:pt>
                <c:pt idx="2">
                  <c:v>1732.0549999999998</c:v>
                </c:pt>
                <c:pt idx="3">
                  <c:v>2565.02</c:v>
                </c:pt>
                <c:pt idx="4">
                  <c:v>5527.9578879999999</c:v>
                </c:pt>
                <c:pt idx="5">
                  <c:v>14287.63020277</c:v>
                </c:pt>
                <c:pt idx="6">
                  <c:v>19083.38752217</c:v>
                </c:pt>
                <c:pt idx="7">
                  <c:v>25707.76143758</c:v>
                </c:pt>
              </c:numCache>
            </c:numRef>
          </c:val>
          <c:extLst>
            <c:ext xmlns:c16="http://schemas.microsoft.com/office/drawing/2014/chart" uri="{C3380CC4-5D6E-409C-BE32-E72D297353CC}">
              <c16:uniqueId val="{0000000E-B37D-45B5-BCAA-13F6EDF22BB2}"/>
            </c:ext>
          </c:extLst>
        </c:ser>
        <c:dLbls>
          <c:dLblPos val="outEnd"/>
          <c:showLegendKey val="0"/>
          <c:showVal val="1"/>
          <c:showCatName val="0"/>
          <c:showSerName val="0"/>
          <c:showPercent val="0"/>
          <c:showBubbleSize val="0"/>
        </c:dLbls>
        <c:gapWidth val="219"/>
        <c:overlap val="-27"/>
        <c:axId val="447789240"/>
        <c:axId val="447788848"/>
      </c:barChart>
      <c:catAx>
        <c:axId val="447789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47788848"/>
        <c:crosses val="autoZero"/>
        <c:auto val="1"/>
        <c:lblAlgn val="ctr"/>
        <c:lblOffset val="100"/>
        <c:noMultiLvlLbl val="0"/>
      </c:catAx>
      <c:valAx>
        <c:axId val="4477888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47789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71</TotalTime>
  <Pages>28</Pages>
  <Words>3200</Words>
  <Characters>17605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Reinaldo Sierra Prieto</dc:creator>
  <cp:keywords/>
  <dc:description/>
  <cp:lastModifiedBy>Hanna</cp:lastModifiedBy>
  <cp:revision>3</cp:revision>
  <dcterms:created xsi:type="dcterms:W3CDTF">2015-12-22T20:10:00Z</dcterms:created>
  <dcterms:modified xsi:type="dcterms:W3CDTF">2015-12-30T23:09:00Z</dcterms:modified>
</cp:coreProperties>
</file>